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298F.004.</w:t>
      </w:r>
    </w:p>
    <w:p w:rsidR="003F3435" w:rsidRDefault="0032493E">
      <w:pPr>
        <w:spacing w:line="480" w:lineRule="auto"/>
        <w:jc w:val="center"/>
      </w:pPr>
      <w:r>
        <w:t xml:space="preserve">CHAPTER 298F.  BEXAR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Bexar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2019, 86th Leg., R.S., Ch. 639 (S.B. </w:t>
      </w:r>
      <w:hyperlink w:docLocation="table" r:id="rId14">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298F.002.</w:t>
      </w:r>
      <w:r xml:space="preserve">
        <w:t> </w:t>
      </w:r>
      <w:r xml:space="preserve">
        <w:t> </w:t>
      </w:r>
      <w:r>
        <w:t xml:space="preserve">APPLICABILITY.</w:t>
      </w:r>
      <w:r xml:space="preserve">
        <w:t> </w:t>
      </w:r>
      <w:r xml:space="preserve">
        <w:t> </w:t>
      </w:r>
      <w:r>
        <w:t xml:space="preserve">This chapter applies only to the Bexar County Hospital District.</w:t>
      </w:r>
    </w:p>
    <w:p w:rsidR="003F3435" w:rsidRDefault="0032493E">
      <w:pPr>
        <w:spacing w:line="480" w:lineRule="auto"/>
        <w:jc w:val="both"/>
      </w:pPr>
      <w:r>
        <w:t xml:space="preserve">Added by Acts 2019, 86th Leg., R.S., Ch. 639 (S.B. </w:t>
      </w:r>
      <w:hyperlink w:docLocation="table" r:id="rId15">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298F.003.</w:t>
      </w:r>
      <w:r xml:space="preserve">
        <w:t> </w:t>
      </w:r>
      <w:r xml:space="preserve">
        <w:t> </w:t>
      </w:r>
      <w:r>
        <w:t xml:space="preserve">HEALTH CARE PROVIDER PARTICIPATION PROGRAM; PARTICIPATION IN PROGRAM.</w:t>
      </w:r>
      <w:r xml:space="preserve">
        <w:t> </w:t>
      </w:r>
      <w:r xml:space="preserve">
        <w:t> </w:t>
      </w:r>
      <w:r>
        <w:t xml:space="preserve">The board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2019, 86th Leg., R.S., Ch. 639 (S.B. </w:t>
      </w:r>
      <w:hyperlink w:docLocation="table" r:id="rId16">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298F.004.</w:t>
      </w:r>
      <w:r xml:space="preserve">
        <w:t> </w:t>
      </w:r>
      <w:r xml:space="preserve">
        <w:t> </w:t>
      </w:r>
      <w:r>
        <w:t xml:space="preserve">EXPIRATION.  (a)</w:t>
      </w:r>
      <w:r xml:space="preserve">
        <w:t> </w:t>
      </w:r>
      <w:r xml:space="preserve">
        <w:t> </w:t>
      </w:r>
      <w:r>
        <w:t xml:space="preserve">Subject to Section </w:t>
      </w:r>
      <w:r>
        <w:t xml:space="preserve">298F.153</w:t>
      </w:r>
      <w:r>
        <w:t xml:space="preserve">(d),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2019, 86th Leg., R.S., Ch. 639 (S.B. </w:t>
      </w:r>
      <w:hyperlink w:docLocation="table" r:id="rId17">
        <w:r>
          <w:rPr>
            <w:rStyle w:val="Hyperlink"/>
          </w:rPr>
          <w:t>1545</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202 (S.B. </w:t>
      </w:r>
      <w:hyperlink w:docLocation="table" r:id="rId18">
        <w:r>
          <w:rPr>
            <w:rStyle w:val="Hyperlink"/>
          </w:rPr>
          <w:t>1155</w:t>
        </w:r>
      </w:hyperlink>
      <w:r>
        <w:t xml:space="preserve">), Sec. 1, eff. May 24, 2023.</w:t>
      </w:r>
    </w:p>
    <w:p w:rsidR="003F3435" w:rsidRDefault="0032493E">
      <w:pPr>
        <w:spacing w:line="480" w:lineRule="auto"/>
        <w:ind w:firstLine="720"/>
        <w:jc w:val="both"/>
      </w:pPr>
      <w:r>
        <w:t xml:space="preserve">Acts 2023, 88th Leg., R.S., Ch. 857 (H.B. </w:t>
      </w:r>
      <w:hyperlink w:docLocation="table" r:id="rId19">
        <w:r>
          <w:rPr>
            <w:rStyle w:val="Hyperlink"/>
          </w:rPr>
          <w:t>3456</w:t>
        </w:r>
      </w:hyperlink>
      <w:r>
        <w:t xml:space="preserve">), Sec. 5, eff. June 13,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jc w:val="both"/>
      </w:pPr>
      <w:r>
        <w:t xml:space="preserve">Added by Acts 2019, 86th Leg., R.S., Ch. 639 (S.B. </w:t>
      </w:r>
      <w:hyperlink w:docLocation="table" r:id="rId20">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any other administrative aspects of the program.</w:t>
      </w:r>
    </w:p>
    <w:p w:rsidR="003F3435" w:rsidRDefault="0032493E">
      <w:pPr>
        <w:spacing w:line="480" w:lineRule="auto"/>
        <w:jc w:val="both"/>
      </w:pPr>
      <w:r>
        <w:t xml:space="preserve">Added by Acts 2019, 86th Leg., R.S., Ch. 639 (S.B. </w:t>
      </w:r>
      <w:hyperlink w:docLocation="table" r:id="rId21">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shall require each institutional health care provider to submit to the district a copy of any financial and utilization data reported in the provider's Medicare cost report submitted for the previous fiscal year or for the closest subsequent fiscal year for which the provider submitted the Medicare cost report.</w:t>
      </w:r>
    </w:p>
    <w:p w:rsidR="003F3435" w:rsidRDefault="0032493E">
      <w:pPr>
        <w:spacing w:line="480" w:lineRule="auto"/>
        <w:jc w:val="both"/>
      </w:pPr>
      <w:r>
        <w:t xml:space="preserve">Added by Acts 2019, 86th Leg., R.S., Ch. 639 (S.B. </w:t>
      </w:r>
      <w:hyperlink w:docLocation="table" r:id="rId22">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298F.101.</w:t>
      </w:r>
      <w:r xml:space="preserve">
        <w:t> </w:t>
      </w:r>
      <w:r xml:space="preserve">
        <w:t> </w:t>
      </w:r>
      <w:r>
        <w:t xml:space="preserve">HEARING.  (a)</w:t>
      </w:r>
      <w:r xml:space="preserve">
        <w:t> </w:t>
      </w:r>
      <w:r xml:space="preserve">
        <w:t> </w:t>
      </w:r>
      <w:r>
        <w:t xml:space="preserve">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 and provide written notice of the hearing to each paying provider in the district.</w:t>
      </w:r>
    </w:p>
    <w:p w:rsidR="003F3435" w:rsidRDefault="0032493E">
      <w:pPr>
        <w:spacing w:line="480" w:lineRule="auto"/>
        <w:ind w:firstLine="720"/>
        <w:jc w:val="both"/>
      </w:pPr>
      <w:r>
        <w:t xml:space="preserve">(c)</w:t>
      </w:r>
      <w:r xml:space="preserve">
        <w:t> </w:t>
      </w:r>
      <w:r xml:space="preserve">
        <w:t> </w:t>
      </w:r>
      <w:r>
        <w:t xml:space="preserve">A representative of a paying provider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2019, 86th Leg., R.S., Ch. 639 (S.B. </w:t>
      </w:r>
      <w:hyperlink w:docLocation="table" r:id="rId23">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2019, 86th Leg., R.S., Ch. 639 (S.B. </w:t>
      </w:r>
      <w:hyperlink w:docLocation="table" r:id="rId24">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federal waiver program authorizing Medicaid payments to nonpublic hospitals;</w:t>
      </w:r>
    </w:p>
    <w:p w:rsidR="003F3435" w:rsidRDefault="0032493E">
      <w:pPr>
        <w:spacing w:line="480" w:lineRule="auto"/>
        <w:ind w:firstLine="2160"/>
        <w:jc w:val="both"/>
      </w:pPr>
      <w:r>
        <w:t xml:space="preserve">(D)</w:t>
      </w:r>
      <w:r xml:space="preserve">
        <w:t> </w:t>
      </w:r>
      <w:r xml:space="preserve">
        <w:t> </w:t>
      </w:r>
      <w:r>
        <w:t xml:space="preserve">any payments to Medicaid managed care organizations for the benefit of nonpublic hospitals and for which federal matching funds are available; or</w:t>
      </w:r>
    </w:p>
    <w:p w:rsidR="003F3435" w:rsidRDefault="0032493E">
      <w:pPr>
        <w:spacing w:line="480" w:lineRule="auto"/>
        <w:ind w:firstLine="2160"/>
        <w:jc w:val="both"/>
      </w:pPr>
      <w:r>
        <w:t xml:space="preserve">(E)</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298F.151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 and</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programs for which the district made intergovernmental transfers described by Subdivision (1).</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that transfer may not be used by the state, district, or any other entity to:</w:t>
      </w:r>
    </w:p>
    <w:p w:rsidR="003F3435" w:rsidRDefault="0032493E">
      <w:pPr>
        <w:spacing w:line="480" w:lineRule="auto"/>
        <w:ind w:firstLine="1440"/>
        <w:jc w:val="both"/>
      </w:pPr>
      <w:r>
        <w:t xml:space="preserve">(1)</w:t>
      </w:r>
      <w:r xml:space="preserve">
        <w:t> </w:t>
      </w:r>
      <w:r xml:space="preserve">
        <w:t> </w:t>
      </w:r>
      <w:r>
        <w:t xml:space="preserve">expand Medicaid eligibility under the Patient Protection and Affordable Care Act (Pub. L. No. 111-148) as amended by the Health Care and Education Reconciliation Act of 2010 (Pub. L. No. 111-152); or</w:t>
      </w:r>
    </w:p>
    <w:p w:rsidR="003F3435" w:rsidRDefault="0032493E">
      <w:pPr>
        <w:spacing w:line="480" w:lineRule="auto"/>
        <w:ind w:firstLine="1440"/>
        <w:jc w:val="both"/>
      </w:pPr>
      <w:r>
        <w:t xml:space="preserve">(2)</w:t>
      </w:r>
      <w:r xml:space="preserve">
        <w:t> </w:t>
      </w:r>
      <w:r xml:space="preserve">
        <w:t> </w:t>
      </w:r>
      <w:r>
        <w:t xml:space="preserve">fund the nonfederal share of payments to nonpublic hospitals available through the Medicaid disproportionate share hospital program.</w:t>
      </w:r>
    </w:p>
    <w:p w:rsidR="003F3435" w:rsidRDefault="0032493E">
      <w:pPr>
        <w:spacing w:line="480" w:lineRule="auto"/>
        <w:jc w:val="both"/>
      </w:pPr>
      <w:r>
        <w:t xml:space="preserve">Added by Acts 2019, 86th Leg., R.S., Ch. 639 (S.B. </w:t>
      </w:r>
      <w:hyperlink w:docLocation="table" r:id="rId25">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298F.151.</w:t>
      </w:r>
      <w:r xml:space="preserve">
        <w:t> </w:t>
      </w:r>
      <w:r xml:space="preserve">
        <w:t> </w:t>
      </w:r>
      <w:r>
        <w:t xml:space="preserve">MANDATORY PAYMENTS BASED ON PAYING PROVIDER NET PATIENT REVENUE.  (a)</w:t>
      </w:r>
      <w:r xml:space="preserve">
        <w:t> </w:t>
      </w:r>
      <w:r xml:space="preserve">
        <w:t> </w:t>
      </w:r>
      <w:r>
        <w:t xml:space="preserve">If the board authorizes a health care provider participation program under this chapter, for each year the program is authorized, the board may require a mandatory payment to be assessed on the net patient revenue of each institutional health care provider located in the district.</w:t>
      </w:r>
      <w:r xml:space="preserve">
        <w:t> </w:t>
      </w:r>
      <w:r xml:space="preserve">
        <w:t> </w:t>
      </w:r>
      <w:r>
        <w:t xml:space="preserve">The board may provide for the mandatory payment to be assessed periodically throughout the year.</w:t>
      </w:r>
      <w:r xml:space="preserve">
        <w:t> </w:t>
      </w:r>
      <w:r xml:space="preserve">
        <w:t> </w:t>
      </w:r>
      <w:r>
        <w:t xml:space="preserve">The board shall provide an institutional health care provider written notice of each assessment under this subsection, and the provider has 30 calendar days following the date of receipt of the notice to pay the assessment.</w:t>
      </w:r>
      <w:r xml:space="preserve">
        <w:t> </w:t>
      </w:r>
      <w:r xml:space="preserve">
        <w:t> </w:t>
      </w:r>
      <w:r>
        <w:t xml:space="preserve">In the first year in which the mandatory payment is required, the mandatory payment is assessed on the net patient revenue of an institutional health care provider, which is the amount of that revenue as reported in the provider's Medicare cost report submitted for the previous fiscal year or for the closest subsequent fiscal year for which the provider submitted the Medicare cost report.</w:t>
      </w:r>
      <w:r xml:space="preserve">
        <w:t> </w:t>
      </w:r>
      <w:r xml:space="preserve">
        <w:t> </w:t>
      </w:r>
      <w:r>
        <w:t xml:space="preserve">If the mandatory payment is required, 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provider in the district as permitted under federal law.</w:t>
      </w:r>
      <w:r xml:space="preserve">
        <w:t> </w:t>
      </w:r>
      <w:r xml:space="preserve">
        <w:t> </w:t>
      </w:r>
      <w:r>
        <w:t xml:space="preserve">A health care provider participation program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by all paying providers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298F.103</w:t>
      </w:r>
      <w:r>
        <w:t xml:space="preserve">(c)(1).</w:t>
      </w:r>
      <w:r xml:space="preserve">
        <w:t> </w:t>
      </w:r>
      <w:r xml:space="preserve">
        <w:t> </w:t>
      </w:r>
      <w:r>
        <w:t xml:space="preserve">The amount of revenue from mandatory payments that may be used for administrative expenses by the district in a year for activities under this chapter may not exceed $184,000, plus the cost of collateralization of deposits.</w:t>
      </w:r>
      <w:r xml:space="preserve">
        <w:t> </w:t>
      </w:r>
      <w:r xml:space="preserve">
        <w:t> </w:t>
      </w:r>
      <w:r>
        <w:t xml:space="preserve">If the board demonstrates to the paying providers that the costs of administering the health care provider participation program under this chapter, excluding those costs associated with the collateralization of deposits, exceed $184,000 in any year, on consent of all of the paying providers, the district may use additional revenue from mandatory payments received under this chapter to compensate the district for its administrative expenses.</w:t>
      </w:r>
      <w:r xml:space="preserve">
        <w:t> </w:t>
      </w:r>
      <w:r xml:space="preserve">
        <w:t> </w:t>
      </w:r>
      <w:r>
        <w:t xml:space="preserve">A paying provider may not unreasonably withhold consent to compensate the district for administrative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 for purposes of Section </w:t>
      </w:r>
      <w:r>
        <w:t xml:space="preserve">4</w:t>
      </w:r>
      <w:r>
        <w:t xml:space="preserve">, Article IX, Texas Constitution, or Section 281.045 of this code.</w:t>
      </w:r>
    </w:p>
    <w:p w:rsidR="003F3435" w:rsidRDefault="0032493E">
      <w:pPr>
        <w:spacing w:line="480" w:lineRule="auto"/>
        <w:jc w:val="both"/>
      </w:pPr>
      <w:r>
        <w:t xml:space="preserve">Added by Acts 2019, 86th Leg., R.S., Ch. 639 (S.B. </w:t>
      </w:r>
      <w:hyperlink w:docLocation="table" r:id="rId26">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 general fund and, if appropriate, shall be reported as fees of the district.</w:t>
      </w:r>
    </w:p>
    <w:p w:rsidR="003F3435" w:rsidRDefault="0032493E">
      <w:pPr>
        <w:spacing w:line="480" w:lineRule="auto"/>
        <w:jc w:val="both"/>
      </w:pPr>
      <w:r>
        <w:t xml:space="preserve">Added by Acts 2019, 86th Leg., R.S., Ch. 639 (S.B. </w:t>
      </w:r>
      <w:hyperlink w:docLocation="table" r:id="rId27">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the district to establish a program to enable the district to collect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mandatory payments for the purpose of raising general revenue or any amount in excess of the amount reasonably necessary to fund the nonfederal share of a Medicaid supplemental payment program or Medicaid managed care rate enhancements for nonpublic hospitals and to cover the administrative expenses of the district associated with activities under this chapter and other amounts for which the fund may be used as described by Section </w:t>
      </w:r>
      <w:r>
        <w:t xml:space="preserve">298F.103</w:t>
      </w:r>
      <w:r>
        <w:t xml:space="preserve">(c).</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uniform rate enhancement, reimbursement, or other payment described by Section </w:t>
      </w:r>
      <w:r>
        <w:t xml:space="preserve">298F.103</w:t>
      </w:r>
      <w:r>
        <w:t xml:space="preserve">(c)(1) is available to nonpublic hospitals in the district.</w:t>
      </w:r>
    </w:p>
    <w:p w:rsidR="003F3435" w:rsidRDefault="0032493E">
      <w:pPr>
        <w:spacing w:line="480" w:lineRule="auto"/>
        <w:jc w:val="both"/>
      </w:pPr>
      <w:r>
        <w:t xml:space="preserve">Added by Acts 2019, 86th Leg., R.S., Ch. 639 (S.B. </w:t>
      </w:r>
      <w:hyperlink w:docLocation="table" r:id="rId28">
        <w:r>
          <w:rPr>
            <w:rStyle w:val="Hyperlink"/>
          </w:rPr>
          <w:t>1545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298F.154.</w:t>
      </w:r>
      <w:r xml:space="preserve">
        <w:t> </w:t>
      </w:r>
      <w:r xml:space="preserve">
        <w:t> </w:t>
      </w:r>
      <w:r>
        <w:t xml:space="preserve">INTEREST AND PENALTIES.</w:t>
      </w:r>
      <w:r xml:space="preserve">
        <w:t> </w:t>
      </w:r>
      <w:r xml:space="preserve">
        <w:t> </w:t>
      </w:r>
      <w:r>
        <w:t xml:space="preserve">The district may impose and collect interest and penalties on delinquent mandatory payments assessed under this chapter in any amount that does not exceed the maximum amount authorized for other delinquent payments owed to the district.</w:t>
      </w:r>
    </w:p>
    <w:p w:rsidR="003F3435" w:rsidRDefault="0032493E">
      <w:pPr>
        <w:spacing w:line="480" w:lineRule="auto"/>
        <w:jc w:val="both"/>
      </w:pPr>
      <w:r>
        <w:t xml:space="preserve">Added by Acts 2023, 88th Leg., R.S., Ch. 202 (S.B. </w:t>
      </w:r>
      <w:hyperlink w:docLocation="table" r:id="rId29">
        <w:r>
          <w:rPr>
            <w:rStyle w:val="Hyperlink"/>
          </w:rPr>
          <w:t>1155</w:t>
        </w:r>
      </w:hyperlink>
      <w:r>
        <w:t xml:space="preserve">), Sec. 2, eff. May 24,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545F.HTM" TargetMode="External" Id="rId14" /><Relationship Type="http://schemas.openxmlformats.org/officeDocument/2006/relationships/hyperlink" Target="http://capitol.texas.gov/tlodocs/86R/billtext/html/SB01545F.HTM" TargetMode="External" Id="rId15" /><Relationship Type="http://schemas.openxmlformats.org/officeDocument/2006/relationships/hyperlink" Target="http://capitol.texas.gov/tlodocs/86R/billtext/html/SB01545F.HTM" TargetMode="External" Id="rId16" /><Relationship Type="http://schemas.openxmlformats.org/officeDocument/2006/relationships/hyperlink" Target="http://capitol.texas.gov/tlodocs/86R/billtext/html/SB01545F.HTM" TargetMode="External" Id="rId17" /><Relationship Type="http://schemas.openxmlformats.org/officeDocument/2006/relationships/hyperlink" Target="http://capitol.texas.gov/tlodocs/88R/billtext/html/SB01155F.HTM" TargetMode="External" Id="rId18" /><Relationship Type="http://schemas.openxmlformats.org/officeDocument/2006/relationships/hyperlink" Target="http://capitol.texas.gov/tlodocs/88R/billtext/html/HB03456F.HTM" TargetMode="External" Id="rId19" /><Relationship Type="http://schemas.openxmlformats.org/officeDocument/2006/relationships/hyperlink" Target="http://capitol.texas.gov/tlodocs/86R/billtext/html/SB01545F.HTM" TargetMode="External" Id="rId20" /><Relationship Type="http://schemas.openxmlformats.org/officeDocument/2006/relationships/hyperlink" Target="http://capitol.texas.gov/tlodocs/86R/billtext/html/SB01545F.HTM" TargetMode="External" Id="rId21" /><Relationship Type="http://schemas.openxmlformats.org/officeDocument/2006/relationships/hyperlink" Target="http://capitol.texas.gov/tlodocs/86R/billtext/html/SB01545F.HTM" TargetMode="External" Id="rId22" /><Relationship Type="http://schemas.openxmlformats.org/officeDocument/2006/relationships/hyperlink" Target="http://capitol.texas.gov/tlodocs/86R/billtext/html/SB01545F.HTM" TargetMode="External" Id="rId23" /><Relationship Type="http://schemas.openxmlformats.org/officeDocument/2006/relationships/hyperlink" Target="http://capitol.texas.gov/tlodocs/86R/billtext/html/SB01545F.HTM" TargetMode="External" Id="rId24" /><Relationship Type="http://schemas.openxmlformats.org/officeDocument/2006/relationships/hyperlink" Target="http://capitol.texas.gov/tlodocs/86R/billtext/html/SB01545F.HTM" TargetMode="External" Id="rId25" /><Relationship Type="http://schemas.openxmlformats.org/officeDocument/2006/relationships/hyperlink" Target="http://capitol.texas.gov/tlodocs/86R/billtext/html/SB01545F.HTM" TargetMode="External" Id="rId26" /><Relationship Type="http://schemas.openxmlformats.org/officeDocument/2006/relationships/hyperlink" Target="http://capitol.texas.gov/tlodocs/86R/billtext/html/SB01545F.HTM" TargetMode="External" Id="rId27" /><Relationship Type="http://schemas.openxmlformats.org/officeDocument/2006/relationships/hyperlink" Target="http://capitol.texas.gov/tlodocs/86R/billtext/html/SB01545F.HTM" TargetMode="External" Id="rId28" /><Relationship Type="http://schemas.openxmlformats.org/officeDocument/2006/relationships/hyperlink" Target="http://capitol.texas.gov/tlodocs/88R/billtext/html/SB0115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