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For expiration of this chapter, see Section 299.004.</w:t>
      </w:r>
    </w:p>
    <w:p w:rsidR="003F3435" w:rsidRDefault="0032493E">
      <w:pPr>
        <w:spacing w:line="480" w:lineRule="auto"/>
        <w:jc w:val="center"/>
      </w:pPr>
      <w:r>
        <w:t xml:space="preserve">CHAPTER 299. HARRIS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2019, 86th Leg., R.S., Ch. 208 (H.B. </w:t>
      </w:r>
      <w:hyperlink w:docLocation="table" r:id="rId14">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299.002.</w:t>
      </w:r>
      <w:r xml:space="preserve">
        <w:t> </w:t>
      </w:r>
      <w:r xml:space="preserve">
        <w:t> </w:t>
      </w:r>
      <w:r>
        <w:t xml:space="preserve">APPLICABILITY.</w:t>
      </w:r>
      <w:r xml:space="preserve">
        <w:t> </w:t>
      </w:r>
      <w:r xml:space="preserve">
        <w:t> </w:t>
      </w:r>
      <w:r>
        <w:t xml:space="preserve">This chapter applies only to the Harris County Hospital District.</w:t>
      </w:r>
    </w:p>
    <w:p w:rsidR="003F3435" w:rsidRDefault="0032493E">
      <w:pPr>
        <w:spacing w:line="480" w:lineRule="auto"/>
        <w:jc w:val="both"/>
      </w:pPr>
      <w:r>
        <w:t xml:space="preserve">Added by Acts 2019, 86th Leg., R.S., Ch. 208 (H.B. </w:t>
      </w:r>
      <w:hyperlink w:docLocation="table" r:id="rId15">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299.003.</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208 (H.B. </w:t>
      </w:r>
      <w:hyperlink w:docLocation="table" r:id="rId16">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For expiration of this chapter, see Section 299.004.</w:t>
      </w:r>
    </w:p>
    <w:p w:rsidR="003F3435" w:rsidRDefault="0032493E">
      <w:pPr>
        <w:spacing w:line="480" w:lineRule="auto"/>
        <w:ind w:firstLine="720"/>
        <w:jc w:val="both"/>
      </w:pPr>
      <w:r>
        <w:t xml:space="preserve">Sec.</w:t>
      </w:r>
      <w:r xml:space="preserve">
        <w:t> </w:t>
      </w:r>
      <w:r>
        <w:t xml:space="preserve">299.004.</w:t>
      </w:r>
      <w:r xml:space="preserve">
        <w:t> </w:t>
      </w:r>
      <w:r xml:space="preserve">
        <w:t> </w:t>
      </w:r>
      <w:r>
        <w:t xml:space="preserve">EXPIRATION.  (a)</w:t>
      </w:r>
      <w:r xml:space="preserve">
        <w:t> </w:t>
      </w:r>
      <w:r xml:space="preserve">
        <w:t> </w:t>
      </w:r>
      <w:r>
        <w:t xml:space="preserve">Subject to Section </w:t>
      </w:r>
      <w:r>
        <w:t xml:space="preserve">299.153</w:t>
      </w:r>
      <w:r>
        <w:t xml:space="preserve">(d), the authority of the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This chapter expires December 31, 2027.</w:t>
      </w:r>
    </w:p>
    <w:p w:rsidR="003F3435" w:rsidRDefault="0032493E">
      <w:pPr>
        <w:spacing w:line="480" w:lineRule="auto"/>
        <w:jc w:val="both"/>
      </w:pPr>
      <w:r>
        <w:t xml:space="preserve">Added by Acts 2019, 86th Leg., R.S., Ch. 208 (H.B. </w:t>
      </w:r>
      <w:hyperlink w:docLocation="table" r:id="rId17">
        <w:r>
          <w:rPr>
            <w:rStyle w:val="Hyperlink"/>
          </w:rPr>
          <w:t>3459</w:t>
        </w:r>
      </w:hyperlink>
      <w:r>
        <w:t xml:space="preserve">), Sec. 1, eff. May 24,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316 (H.B. </w:t>
      </w:r>
      <w:hyperlink w:docLocation="table" r:id="rId18">
        <w:r>
          <w:rPr>
            <w:rStyle w:val="Hyperlink"/>
          </w:rPr>
          <w:t>1338</w:t>
        </w:r>
      </w:hyperlink>
      <w:r>
        <w:t xml:space="preserve">), Sec. 1, eff. June 7, 2021.</w:t>
      </w:r>
    </w:p>
    <w:p w:rsidR="003F3435" w:rsidRDefault="0032493E">
      <w:pPr>
        <w:spacing w:line="480" w:lineRule="auto"/>
        <w:ind w:firstLine="720"/>
        <w:jc w:val="both"/>
      </w:pPr>
      <w:r>
        <w:t xml:space="preserve">Acts 2023, 88th Leg., R.S., Ch. 433 (H.B. </w:t>
      </w:r>
      <w:hyperlink w:docLocation="table" r:id="rId19">
        <w:r>
          <w:rPr>
            <w:rStyle w:val="Hyperlink"/>
          </w:rPr>
          <w:t>1925</w:t>
        </w:r>
      </w:hyperlink>
      <w:r>
        <w:t xml:space="preserve">), Sec. 1, eff. June 9, 2023.</w:t>
      </w:r>
    </w:p>
    <w:p w:rsidR="003F3435" w:rsidRDefault="0032493E">
      <w:pPr>
        <w:spacing w:line="480" w:lineRule="auto"/>
        <w:ind w:firstLine="720"/>
        <w:jc w:val="both"/>
      </w:pPr>
      <w:r>
        <w:t xml:space="preserve">Acts 2023, 88th Leg., R.S., Ch. 857 (H.B. </w:t>
      </w:r>
      <w:hyperlink w:docLocation="table" r:id="rId20">
        <w:r>
          <w:rPr>
            <w:rStyle w:val="Hyperlink"/>
          </w:rPr>
          <w:t>3456</w:t>
        </w:r>
      </w:hyperlink>
      <w:r>
        <w:t xml:space="preserve">), Sec. 7, eff. June 13, 2023.</w:t>
      </w:r>
    </w:p>
    <w:p w:rsidR="003F3435" w:rsidRDefault="0032493E">
      <w:pPr>
        <w:spacing w:line="480" w:lineRule="auto"/>
        <w:ind w:firstLine="720"/>
        <w:jc w:val="both"/>
      </w:pPr>
      <w:r>
        <w:t xml:space="preserve">Acts 2025, 89th Leg., R.S., Ch. 217 (H.B. </w:t>
      </w:r>
      <w:hyperlink w:docLocation="table" r:id="rId21">
        <w:r>
          <w:rPr>
            <w:rStyle w:val="Hyperlink"/>
          </w:rPr>
          <w:t>1327</w:t>
        </w:r>
      </w:hyperlink>
      <w:r>
        <w:t xml:space="preserve">), Sec. 1, eff. May 28, 2025.</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2019, 86th Leg., R.S., Ch. 208 (H.B. </w:t>
      </w:r>
      <w:hyperlink w:docLocation="table" r:id="rId22">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2019, 86th Leg., R.S., Ch. 208 (H.B. </w:t>
      </w:r>
      <w:hyperlink w:docLocation="table" r:id="rId23">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shall require each institutional health care provider to submit to the district a copy of any financial and utilization data as reported in the provider's Medicare cost report submitted for the previous fiscal year or for the closest subsequent fiscal year for which the provider submitted the Medicare cost report.</w:t>
      </w:r>
    </w:p>
    <w:p w:rsidR="003F3435" w:rsidRDefault="0032493E">
      <w:pPr>
        <w:spacing w:line="480" w:lineRule="auto"/>
        <w:jc w:val="both"/>
      </w:pPr>
      <w:r>
        <w:t xml:space="preserve">Added by Acts 2019, 86th Leg., R.S., Ch. 208 (H.B. </w:t>
      </w:r>
      <w:hyperlink w:docLocation="table" r:id="rId24">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299.101.</w:t>
      </w:r>
      <w:r xml:space="preserve">
        <w:t> </w:t>
      </w:r>
      <w:r xml:space="preserve">
        <w:t> </w:t>
      </w:r>
      <w:r>
        <w:t xml:space="preserve">HEARING.  (a)</w:t>
      </w:r>
      <w:r xml:space="preserve">
        <w:t> </w:t>
      </w:r>
      <w:r xml:space="preserve">
        <w:t> </w:t>
      </w:r>
      <w:r>
        <w:t xml:space="preserve">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each institutional health care provider in the district.</w:t>
      </w:r>
    </w:p>
    <w:p w:rsidR="003F3435" w:rsidRDefault="0032493E">
      <w:pPr>
        <w:spacing w:line="480" w:lineRule="auto"/>
        <w:ind w:firstLine="720"/>
        <w:jc w:val="both"/>
      </w:pPr>
      <w:r>
        <w:t xml:space="preserve">(c)</w:t>
      </w:r>
      <w:r xml:space="preserve">
        <w:t> </w:t>
      </w:r>
      <w:r xml:space="preserve">
        <w:t> </w:t>
      </w:r>
      <w:r>
        <w:t xml:space="preserve">A representative of a paying provider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2019, 86th Leg., R.S., Ch. 208 (H.B. </w:t>
      </w:r>
      <w:hyperlink w:docLocation="table" r:id="rId25">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2019, 86th Leg., R.S., Ch. 208 (H.B. </w:t>
      </w:r>
      <w:hyperlink w:docLocation="table" r:id="rId26">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299.151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attributable to mandatory payments collected under this chapter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 and</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the transfer may not be used by the state, district,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 or the delivery system reform incentive payment program.</w:t>
      </w:r>
    </w:p>
    <w:p w:rsidR="003F3435" w:rsidRDefault="0032493E">
      <w:pPr>
        <w:spacing w:line="480" w:lineRule="auto"/>
        <w:jc w:val="both"/>
      </w:pPr>
      <w:r>
        <w:t xml:space="preserve">Added by Acts 2019, 86th Leg., R.S., Ch. 208 (H.B. </w:t>
      </w:r>
      <w:hyperlink w:docLocation="table" r:id="rId27">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299.151.</w:t>
      </w:r>
      <w:r xml:space="preserve">
        <w:t> </w:t>
      </w:r>
      <w:r xml:space="preserve">
        <w:t> </w:t>
      </w:r>
      <w:r>
        <w:t xml:space="preserve">MANDATORY PAYMENTS BASED ON PAYING PROVIDER NET PATIENT REVENUE.  (a)</w:t>
      </w:r>
      <w:r xml:space="preserve">
        <w:t> </w:t>
      </w:r>
      <w:r xml:space="preserve">
        <w:t> </w:t>
      </w:r>
      <w:r>
        <w:t xml:space="preserve">If the board authorizes a health care provider participation program under this chapter, the board may require a mandatory payment to be assessed, either annually or periodically throughout the year at the discretion of the board, on the net patient revenue of each institutional health care provider located in the district.</w:t>
      </w:r>
      <w:r xml:space="preserve">
        <w:t> </w:t>
      </w:r>
      <w:r xml:space="preserve">
        <w:t> </w:t>
      </w:r>
      <w:r>
        <w:t xml:space="preserve">The board shall provide an institutional health care provider written notice of each assessment under this subsection, and the provider has 30 calendar days following the date of receipt of the notice to pay the assessment.</w:t>
      </w:r>
      <w:r xml:space="preserve">
        <w:t> </w:t>
      </w:r>
      <w:r xml:space="preserve">
        <w:t> </w:t>
      </w:r>
      <w:r>
        <w:t xml:space="preserve">In the first year in which the mandatory payment is required, the mandatory payment is assessed on the net patient revenue of an institutional health care provider, as determined by the provider's Medicare cost report submitted for the previous fiscal year or for the closest subsequent fiscal year for which the provider submitted the Medicare cost report.</w:t>
      </w:r>
      <w:r xml:space="preserve">
        <w:t> </w:t>
      </w:r>
      <w:r xml:space="preserve">
        <w:t> </w:t>
      </w:r>
      <w:r>
        <w:t xml:space="preserve">If the mandatory payment is required, the district shall update the amount of the mandatory payment on an annual basis and may update the amount on a more frequent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299.103</w:t>
      </w:r>
      <w:r>
        <w:t xml:space="preserve">(c)(1).</w:t>
      </w:r>
      <w:r xml:space="preserve">
        <w:t> </w:t>
      </w:r>
      <w:r xml:space="preserve">
        <w:t> </w:t>
      </w:r>
      <w:r>
        <w:t xml:space="preserve">The annual amount of revenue from mandatory payments used for administrative expenses by the district for activities under this chapter is $600,000,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w:t>
      </w:r>
      <w:r xml:space="preserve">
        <w:t> </w:t>
      </w:r>
      <w:r xml:space="preserve">
        <w:t> </w:t>
      </w:r>
      <w:r>
        <w:t xml:space="preserve">for purposes of Section </w:t>
      </w:r>
      <w:r>
        <w:t xml:space="preserve">4</w:t>
      </w:r>
      <w:r>
        <w:t xml:space="preserve">, Article IX, Texas Constitution, or Section 281.045.</w:t>
      </w:r>
    </w:p>
    <w:p w:rsidR="003F3435" w:rsidRDefault="0032493E">
      <w:pPr>
        <w:spacing w:line="480" w:lineRule="auto"/>
        <w:jc w:val="both"/>
      </w:pPr>
      <w:r>
        <w:t xml:space="preserve">Added by Acts 2019, 86th Leg., R.S., Ch. 208 (H.B. </w:t>
      </w:r>
      <w:hyperlink w:docLocation="table" r:id="rId28">
        <w:r>
          <w:rPr>
            <w:rStyle w:val="Hyperlink"/>
          </w:rPr>
          <w:t>3459</w:t>
        </w:r>
      </w:hyperlink>
      <w:r>
        <w:t xml:space="preserve">), Sec. 1, eff. May 24,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316 (H.B. </w:t>
      </w:r>
      <w:hyperlink w:docLocation="table" r:id="rId29">
        <w:r>
          <w:rPr>
            <w:rStyle w:val="Hyperlink"/>
          </w:rPr>
          <w:t>1338</w:t>
        </w:r>
      </w:hyperlink>
      <w:r>
        <w:t xml:space="preserve">), Sec. 2,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299.152.</w:t>
      </w:r>
      <w:r xml:space="preserve">
        <w:t> </w:t>
      </w:r>
      <w:r xml:space="preserve">
        <w:t> </w:t>
      </w:r>
      <w:r>
        <w:t xml:space="preserve">ASSESSMENT AND COLLECTION OF MANDATORY PAYMENTS.  (a) 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2019, 86th Leg., R.S., Ch. 208 (H.B. </w:t>
      </w:r>
      <w:hyperlink w:docLocation="table" r:id="rId30">
        <w:r>
          <w:rPr>
            <w:rStyle w:val="Hyperlink"/>
          </w:rPr>
          <w:t>3459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299.153.</w:t>
      </w:r>
      <w:r xml:space="preserve">
        <w:t> </w:t>
      </w:r>
      <w:r xml:space="preserve">
        <w:t> </w:t>
      </w:r>
      <w:r>
        <w:t xml:space="preserve">PURPOSE; CORRECTION OF INVALID PROVISION OR PROCEDURE; LIMITATION OF AUTHORITY.</w:t>
      </w:r>
      <w:r xml:space="preserve">
        <w:t> </w:t>
      </w:r>
      <w:r>
        <w:t xml:space="preserve">(a) The purpose of this chapter is to authorize the district to establish a program to enable the district to collect mandatory payments from institutional health care providers to fund the nonfederal share of a Medicaid supplemental payment program or the Medicaid managed care rate enhancements for nonpublic hospitals to support the provision of health care by institutional health care providers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mandatory payments for the purpose of raising general revenue or any amount in excess of the amount reasonably necessary to:</w:t>
      </w:r>
    </w:p>
    <w:p w:rsidR="003F3435" w:rsidRDefault="0032493E">
      <w:pPr>
        <w:spacing w:line="480" w:lineRule="auto"/>
        <w:ind w:firstLine="1440"/>
        <w:jc w:val="both"/>
      </w:pPr>
      <w:r>
        <w:t xml:space="preserve">(1)</w:t>
      </w:r>
      <w:r xml:space="preserve">
        <w:t> </w:t>
      </w:r>
      <w:r xml:space="preserve">
        <w:t> </w:t>
      </w:r>
      <w:r>
        <w:t xml:space="preserve">fund the nonfederal share of a Medicaid supplemental payment program or Medicaid managed care rate enhancements for nonpublic hospitals; and</w:t>
      </w:r>
    </w:p>
    <w:p w:rsidR="003F3435" w:rsidRDefault="0032493E">
      <w:pPr>
        <w:spacing w:line="480" w:lineRule="auto"/>
        <w:ind w:firstLine="1440"/>
        <w:jc w:val="both"/>
      </w:pPr>
      <w:r>
        <w:t xml:space="preserve">(2)</w:t>
      </w:r>
      <w:r xml:space="preserve">
        <w:t> </w:t>
      </w:r>
      <w:r xml:space="preserve">
        <w:t> </w:t>
      </w:r>
      <w:r>
        <w:t xml:space="preserve">cover the administrative expenses of the district associated with activities under this chapter and other uses of the fund described by Section </w:t>
      </w:r>
      <w:r>
        <w:t xml:space="preserve">299.103</w:t>
      </w:r>
      <w:r>
        <w:t xml:space="preserve">(c).</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 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uniform rate enhancement, or reimbursement described by Section </w:t>
      </w:r>
      <w:r>
        <w:t xml:space="preserve">299.103</w:t>
      </w:r>
      <w:r>
        <w:t xml:space="preserve">(c)(1) is available to the district.</w:t>
      </w:r>
    </w:p>
    <w:p w:rsidR="003F3435" w:rsidRDefault="0032493E">
      <w:pPr>
        <w:spacing w:line="480" w:lineRule="auto"/>
        <w:jc w:val="both"/>
      </w:pPr>
      <w:r>
        <w:t xml:space="preserve">Added by Acts 2019, 86th Leg., R.S., Ch. 208 (H.B. </w:t>
      </w:r>
      <w:hyperlink w:docLocation="table" r:id="rId31">
        <w:r>
          <w:rPr>
            <w:rStyle w:val="Hyperlink"/>
          </w:rPr>
          <w:t>3459</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59F.HTM" TargetMode="External" Id="rId14" /><Relationship Type="http://schemas.openxmlformats.org/officeDocument/2006/relationships/hyperlink" Target="http://capitol.texas.gov/tlodocs/86R/billtext/html/HB03459F.HTM" TargetMode="External" Id="rId15" /><Relationship Type="http://schemas.openxmlformats.org/officeDocument/2006/relationships/hyperlink" Target="http://capitol.texas.gov/tlodocs/86R/billtext/html/HB03459F.HTM" TargetMode="External" Id="rId16" /><Relationship Type="http://schemas.openxmlformats.org/officeDocument/2006/relationships/hyperlink" Target="http://capitol.texas.gov/tlodocs/86R/billtext/html/HB03459F.HTM" TargetMode="External" Id="rId17" /><Relationship Type="http://schemas.openxmlformats.org/officeDocument/2006/relationships/hyperlink" Target="http://capitol.texas.gov/tlodocs/87R/billtext/html/HB01338F.HTM" TargetMode="External" Id="rId18" /><Relationship Type="http://schemas.openxmlformats.org/officeDocument/2006/relationships/hyperlink" Target="http://capitol.texas.gov/tlodocs/88R/billtext/html/HB01925F.HTM" TargetMode="External" Id="rId19" /><Relationship Type="http://schemas.openxmlformats.org/officeDocument/2006/relationships/hyperlink" Target="http://capitol.texas.gov/tlodocs/88R/billtext/html/HB03456F.HTM" TargetMode="External" Id="rId20" /><Relationship Type="http://schemas.openxmlformats.org/officeDocument/2006/relationships/hyperlink" Target="http://capitol.texas.gov/tlodocs/89R/billtext/html/HB01327F.HTM" TargetMode="External" Id="rId21" /><Relationship Type="http://schemas.openxmlformats.org/officeDocument/2006/relationships/hyperlink" Target="http://capitol.texas.gov/tlodocs/86R/billtext/html/HB03459F.HTM" TargetMode="External" Id="rId22" /><Relationship Type="http://schemas.openxmlformats.org/officeDocument/2006/relationships/hyperlink" Target="http://capitol.texas.gov/tlodocs/86R/billtext/html/HB03459F.HTM" TargetMode="External" Id="rId23" /><Relationship Type="http://schemas.openxmlformats.org/officeDocument/2006/relationships/hyperlink" Target="http://capitol.texas.gov/tlodocs/86R/billtext/html/HB03459F.HTM" TargetMode="External" Id="rId24" /><Relationship Type="http://schemas.openxmlformats.org/officeDocument/2006/relationships/hyperlink" Target="http://capitol.texas.gov/tlodocs/86R/billtext/html/HB03459F.HTM" TargetMode="External" Id="rId25" /><Relationship Type="http://schemas.openxmlformats.org/officeDocument/2006/relationships/hyperlink" Target="http://capitol.texas.gov/tlodocs/86R/billtext/html/HB03459F.HTM" TargetMode="External" Id="rId26" /><Relationship Type="http://schemas.openxmlformats.org/officeDocument/2006/relationships/hyperlink" Target="http://capitol.texas.gov/tlodocs/86R/billtext/html/HB03459F.HTM" TargetMode="External" Id="rId27" /><Relationship Type="http://schemas.openxmlformats.org/officeDocument/2006/relationships/hyperlink" Target="http://capitol.texas.gov/tlodocs/86R/billtext/html/HB03459F.HTM" TargetMode="External" Id="rId28" /><Relationship Type="http://schemas.openxmlformats.org/officeDocument/2006/relationships/hyperlink" Target="http://capitol.texas.gov/tlodocs/87R/billtext/html/HB01338F.HTM" TargetMode="External" Id="rId29" /><Relationship Type="http://schemas.openxmlformats.org/officeDocument/2006/relationships/hyperlink" Target="http://capitol.texas.gov/tlodocs/86R/billtext/html/HB03459F.HTM" TargetMode="External" Id="rId30" /><Relationship Type="http://schemas.openxmlformats.org/officeDocument/2006/relationships/hyperlink" Target="http://capitol.texas.gov/tlodocs/86R/billtext/html/HB0345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