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A. FOOD AND DRUG HEALTH REGULATIONS</w:t>
      </w:r>
    </w:p>
    <w:p w:rsidR="003F3435" w:rsidRDefault="0032493E">
      <w:pPr>
        <w:spacing w:line="480" w:lineRule="auto"/>
        <w:jc w:val="center"/>
      </w:pPr>
      <w:r>
        <w:t xml:space="preserve">CHAPTER 446.  IVERMECTIN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446.001.</w:t>
      </w:r>
      <w:r xml:space="preserve">
        <w:t> </w:t>
      </w:r>
      <w:r xml:space="preserve">
        <w:t> </w:t>
      </w:r>
      <w:r>
        <w:t xml:space="preserve">SALE OF IVERMECTIN WITHOUT A PRESCRIPTION; ESTABLISHING PROTECTIONS.  (a)</w:t>
      </w:r>
      <w:r xml:space="preserve">
        <w:t> </w:t>
      </w:r>
      <w:r xml:space="preserve">
        <w:t> </w:t>
      </w:r>
      <w:r>
        <w:t xml:space="preserve">A pharmacist may dispense ivermectin to a person, without requiring a prescription order from a licensed health care practitioner, in accordance with any written standardized procedures or protocols issued by the Texas State Board of Pharmacy, including, if required, providing the person with instructions on the proper use of ivermectin.</w:t>
      </w:r>
    </w:p>
    <w:p w:rsidR="003F3435" w:rsidRDefault="0032493E">
      <w:pPr>
        <w:spacing w:line="480" w:lineRule="auto"/>
        <w:ind w:firstLine="720"/>
        <w:jc w:val="both"/>
      </w:pPr>
      <w:r>
        <w:t xml:space="preserve">(b)</w:t>
      </w:r>
      <w:r xml:space="preserve">
        <w:t> </w:t>
      </w:r>
      <w:r xml:space="preserve">
        <w:t> </w:t>
      </w:r>
      <w:r>
        <w:t xml:space="preserve">Notwithstanding any other law, a pharmacist acting in a reasonably prudent manner is not criminally or civilly liable or subject to professional disciplinary action for dispensing ivermectin in accordance with this section.</w:t>
      </w:r>
    </w:p>
    <w:p w:rsidR="003F3435" w:rsidRDefault="0032493E">
      <w:pPr>
        <w:spacing w:line="480" w:lineRule="auto"/>
        <w:jc w:val="both"/>
      </w:pPr>
      <w:r>
        <w:t xml:space="preserve">Added by Acts 2025, 89th Leg., 2nd C.S., Ch. 11 (H.B. </w:t>
      </w:r>
      <w:hyperlink w:docLocation="table" r:id="rId14">
        <w:r>
          <w:rPr>
            <w:rStyle w:val="Hyperlink"/>
          </w:rPr>
          <w:t>25</w:t>
        </w:r>
      </w:hyperlink>
      <w:r>
        <w:t xml:space="preserve">), Sec. 1,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446.002.</w:t>
      </w:r>
      <w:r xml:space="preserve">
        <w:t> </w:t>
      </w:r>
      <w:r xml:space="preserve">
        <w:t> </w:t>
      </w:r>
      <w:r>
        <w:t xml:space="preserve">RULES.</w:t>
      </w:r>
      <w:r xml:space="preserve">
        <w:t> </w:t>
      </w:r>
      <w:r xml:space="preserve">
        <w:t> </w:t>
      </w:r>
      <w:r>
        <w:t xml:space="preserve">The Texas State Board of Pharmacy may adopt the rules necessary to implement this chapter.</w:t>
      </w:r>
    </w:p>
    <w:p w:rsidR="003F3435" w:rsidRDefault="0032493E">
      <w:pPr>
        <w:spacing w:line="480" w:lineRule="auto"/>
        <w:jc w:val="both"/>
      </w:pPr>
      <w:r>
        <w:t xml:space="preserve">Added by Acts 2025, 89th Leg., 2nd C.S., Ch. 11 (H.B. </w:t>
      </w:r>
      <w:hyperlink w:docLocation="table" r:id="rId15">
        <w:r>
          <w:rPr>
            <w:rStyle w:val="Hyperlink"/>
          </w:rPr>
          <w:t>25</w:t>
        </w:r>
      </w:hyperlink>
      <w:r>
        <w:t xml:space="preserve">), Sec. 1, eff. December 4,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2/billtext/html/HB00025F.HTM" TargetMode="External" Id="rId14" /><Relationship Type="http://schemas.openxmlformats.org/officeDocument/2006/relationships/hyperlink" Target="http://capitol.texas.gov/tlodocs/892/billtext/html/HB00025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