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7. MENTAL HEALTH AND INTELLECTUAL DISABILITY</w:t>
      </w:r>
    </w:p>
    <w:p w:rsidR="003F3435" w:rsidRDefault="0032493E">
      <w:pPr>
        <w:spacing w:line="480" w:lineRule="auto"/>
        <w:jc w:val="center"/>
      </w:pPr>
      <w:r>
        <w:t xml:space="preserve">SUBTITLE B. STATE FACILITIES</w:t>
      </w:r>
    </w:p>
    <w:p w:rsidR="003F3435" w:rsidRDefault="0032493E">
      <w:pPr>
        <w:spacing w:line="480" w:lineRule="auto"/>
        <w:jc w:val="center"/>
      </w:pPr>
      <w:r>
        <w:t xml:space="preserve">CHAPTER 553.  SAN ANTONIO STATE SUPPORTED LIVING CENTER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553.022.</w:t>
      </w:r>
      <w:r xml:space="preserve">
        <w:t> </w:t>
      </w:r>
      <w:r xml:space="preserve">
        <w:t> </w:t>
      </w:r>
      <w:r>
        <w:t xml:space="preserve">SAN ANTONIO STATE SUPPORTED LIVING CENTER.  (a)</w:t>
      </w:r>
      <w:r xml:space="preserve">
        <w:t> </w:t>
      </w:r>
      <w:r xml:space="preserve">
        <w:t> </w:t>
      </w:r>
      <w:r>
        <w:t xml:space="preserve">The San Antonio State Supported Living Center is for the education, care, and treatment of persons with an intellectual disability.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of Aging and Disability Services may enter into agreements with the Department of State Health Services for use of the excess facilities of a public health hospital as defined by Section </w:t>
      </w:r>
      <w:r>
        <w:t xml:space="preserve">13.033</w:t>
      </w:r>
      <w:r>
        <w:t xml:space="preserve"> in the operation of the state supported living center.</w:t>
      </w:r>
    </w:p>
    <w:p w:rsidR="003F3435" w:rsidRDefault="0032493E">
      <w:pPr>
        <w:spacing w:line="480" w:lineRule="auto"/>
        <w:jc w:val="both"/>
      </w:pPr>
      <w:r>
        <w:t xml:space="preserve">Added by Acts 1991, 72nd Leg., ch. 76, Sec. 1, eff. Sept. 1, 1991.  Amended by Acts 1995, 74th Leg., ch. 107, Sec. 8,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4">
        <w:r>
          <w:rPr>
            <w:rStyle w:val="Hyperlink"/>
          </w:rPr>
          <w:t>219</w:t>
        </w:r>
      </w:hyperlink>
      <w:r>
        <w:t xml:space="preserve">), Sec. 3.1344, eff. April 2,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0219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