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B. EMERGENCIES</w:t>
      </w:r>
    </w:p>
    <w:p w:rsidR="003F3435" w:rsidRDefault="0032493E">
      <w:pPr>
        <w:spacing w:line="480" w:lineRule="auto"/>
        <w:jc w:val="center"/>
      </w:pPr>
      <w:r>
        <w:t xml:space="preserve">CHAPTER 786.  SENIOR RETIREMENT COMMUNITIES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"Common amenity" means an amenity or service offered or provided to residents of a multiunit residential property.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"Resident" means an individual who resides in a senior retirement community as a unit owner or tenant.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"Senior retirement community" means a residential community or a portion of a residential community: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described by Section </w:t>
      </w:r>
      <w:r>
        <w:t xml:space="preserve">301.043</w:t>
      </w:r>
      <w:r>
        <w:t xml:space="preserve">, Property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contains not fewer than 20 residential units in one or more multiunit buildings that are available to own, rent, or lease;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that provides common amenities.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"Senior retirement community contract" means a contract with a resident of a senior retirement community for providing a common amenity to the resident.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"Unit" means a physical portion of a residential property designated for separate ownership or occupancy.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495 (S.B. </w:t>
      </w:r>
      <w:hyperlink w:docLocation="table" r:id="rId14">
        <w:r>
          <w:rPr>
            <w:rStyle w:val="Hyperlink"/>
          </w:rPr>
          <w:t>1283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786.002.</w:t>
      </w:r>
      <w:r xml:space="preserve">
        <w:t> </w:t>
      </w:r>
      <w:r xml:space="preserve">
        <w:t> </w:t>
      </w:r>
      <w:r>
        <w:t xml:space="preserve">EXEMPTIONS.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health care institution as defined by Section </w:t>
      </w:r>
      <w:r>
        <w:t xml:space="preserve">74.001</w:t>
      </w:r>
      <w:r>
        <w:t xml:space="preserve">, Civil Practice and Remedies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boarding home facility as defined by Section </w:t>
      </w:r>
      <w:r>
        <w:t xml:space="preserve">260.001</w:t>
      </w:r>
      <w:r>
        <w:t xml:space="preserve"> that holds a permit issued under Chapter </w:t>
      </w:r>
      <w:r>
        <w:t xml:space="preserve">260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supportive housing facility for elderly individuals operated under Section 202, the National Housing Act (12 U.S.C. Section 1701q);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center for independent living as defined by Section 702 of the federal Rehabilitation Act of 1973 (29 U.S.C. Section 796a);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any other facility that is regulated by the Health and Human Services Commission or in accordance with rules adopted by the Centers for Medicare and Medicaid Services.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495 (S.B. </w:t>
      </w:r>
      <w:hyperlink w:docLocation="table" r:id="rId15">
        <w:r>
          <w:rPr>
            <w:rStyle w:val="Hyperlink"/>
          </w:rPr>
          <w:t>1283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786.003.</w:t>
      </w:r>
      <w:r xml:space="preserve">
        <w:t> </w:t>
      </w:r>
      <w:r xml:space="preserve">
        <w:t> </w:t>
      </w:r>
      <w:r>
        <w:t xml:space="preserve">REQUIREMENTS RELATING TO RESIDENT SAFETY FROM CRIMINAL ACTIVITY.  (a)</w:t>
      </w:r>
      <w:r xml:space="preserve">
        <w:t> </w:t>
      </w:r>
      <w:r xml:space="preserve">
        <w:t> </w:t>
      </w:r>
      <w:r>
        <w:t xml:space="preserve">A senior retirement community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conduct for each retirement community employee a criminal history record check using the computerized criminal history system maintained by the Department of Public Safety of the State of Texas;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disclose in the senior retirement community contract whether the retirement community requires each business hired by the retirement community to provide services at the retirement community to conduct a criminal history record check of each of the business's employees who will provide services at the retirement community;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maintain a resident safety and communications policy regarding criminal activity that poses a risk to residents, which must require the retirement community to send to each resident and post in a conspicuous manner at a location on the retirement community premises where the retirement community posts other community notices a written notice containing information on: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known reports of potential criminal activity made to law enforcement from or at the retirement community not later than two business days after the date the report is made;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known instances of criminal trespassing at the retirement community not later than two business days after the trespassing is reported or occurs.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providing notice under the policy adopted by a senior retirement community under Subsection (a)(3) relating to a reportable incident described by that subdivision, the retirement community: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may provide for the removal of the personal identifying information of an individual who is involved in the reportable incident to prevent the individual's identification;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not refuse to provide the notice based solely on concerns related to the disclosure of the individual's personal identifying information.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senior retirement community may not be held civilly or criminally liable for the retirement community's compliance with Subsection (a)(1) or (3).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senior retirement community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prevent or inhibit a resident from or penalize a resident for communicating with a law enforcement officer, social worker, family member, or other interested person regarding the safety and security of the retirement community;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prevent a law enforcement officer or court officer from entering a common area of the retirement community to conduct a voluntary interview with a resident as part of an investigation into criminal activity at the retirement community.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495 (S.B. </w:t>
      </w:r>
      <w:hyperlink w:docLocation="table" r:id="rId16">
        <w:r>
          <w:rPr>
            <w:rStyle w:val="Hyperlink"/>
          </w:rPr>
          <w:t>1283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1283F.HTM" TargetMode="External" Id="rId14" /><Relationship Type="http://schemas.openxmlformats.org/officeDocument/2006/relationships/hyperlink" Target="http://capitol.texas.gov/tlodocs/89R/billtext/html/SB01283F.HTM" TargetMode="External" Id="rId15" /><Relationship Type="http://schemas.openxmlformats.org/officeDocument/2006/relationships/hyperlink" Target="http://capitol.texas.gov/tlodocs/89R/billtext/html/SB0128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