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10.  PROPERTY AND CASUALTY INSURANCE</w:t>
      </w:r>
    </w:p>
    <w:p w:rsidR="003F3435" w:rsidRDefault="0032493E">
      <w:pPr>
        <w:spacing w:line="480" w:lineRule="auto"/>
        <w:jc w:val="center"/>
      </w:pPr>
      <w:r>
        <w:t xml:space="preserve">SUBTITLE G.  POOLS, GROUPS, PLANS, AND SELF-INSURANCE</w:t>
      </w:r>
    </w:p>
    <w:p w:rsidR="003F3435" w:rsidRDefault="0032493E">
      <w:pPr>
        <w:spacing w:line="480" w:lineRule="auto"/>
        <w:jc w:val="center"/>
      </w:pPr>
      <w:r>
        <w:t xml:space="preserve">CHAPTER 2171.  COMMERCIAL GROUP PROPERTY INSURANCE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2171.001.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"Large risk" means an insured described by Section </w:t>
      </w:r>
      <w:r>
        <w:t xml:space="preserve">2301.004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"Member" means an owner or person with an insurable interest in a property covered under a policy issued under Section </w:t>
      </w:r>
      <w:r>
        <w:t xml:space="preserve">2171.002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4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692 (H.B. </w:t>
      </w:r>
      <w:hyperlink w:docLocation="table" r:id="rId15">
        <w:r>
          <w:rPr>
            <w:rStyle w:val="Hyperlink"/>
          </w:rPr>
          <w:t>3388</w:t>
        </w:r>
      </w:hyperlink>
      <w:r>
        <w:t xml:space="preserve">), Sec. 1, eff. June 20,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2171.002.</w:t>
      </w:r>
      <w:r xml:space="preserve">
        <w:t> </w:t>
      </w:r>
      <w:r xml:space="preserve">
        <w:t> </w:t>
      </w:r>
      <w:r>
        <w:t xml:space="preserve">AUTHORIZATION FOR ISSUANCE.  An insurer may write commercial group property insurance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group of businesses that constitutes a large risk if the members of the group have clearly identifiable underwriting characteristics;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association that constitutes a large risk if the members of the association are engaged in similar undertakings. 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6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2171.003.</w:t>
      </w:r>
      <w:r xml:space="preserve">
        <w:t> </w:t>
      </w:r>
      <w:r xml:space="preserve">
        <w:t> </w:t>
      </w:r>
      <w:r>
        <w:t xml:space="preserve">POLICY FORM FILINGS.  (a)  An insurer shall file a policy form with the commissioner before using the form for a group of businesses or an association described by Section </w:t>
      </w:r>
      <w:r>
        <w:t xml:space="preserve">2171.002</w:t>
      </w:r>
      <w:r>
        <w:t xml:space="preserve"> in which each member of the group or association is not a large risk.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filing made under this section is for informational purposes only. 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7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2171.004.</w:t>
      </w:r>
      <w:r xml:space="preserve">
        <w:t> </w:t>
      </w:r>
      <w:r xml:space="preserve">
        <w:t> </w:t>
      </w:r>
      <w:r>
        <w:t xml:space="preserve">RATE FILINGS.  An insurer shall file with the commissioner in accordance with Chapter </w:t>
      </w:r>
      <w:r>
        <w:t xml:space="preserve">2251</w:t>
      </w:r>
      <w:r>
        <w:t xml:space="preserve"> the following information for commercial group property insurance written under this chapter in this state: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rates;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supplementary rating information;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pertinent supporting information. 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8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2171.005.</w:t>
      </w:r>
      <w:r xml:space="preserve">
        <w:t> </w:t>
      </w:r>
      <w:r xml:space="preserve">
        <w:t> </w:t>
      </w:r>
      <w:r>
        <w:t xml:space="preserve">IDENTIFICATION OF INSURED REQUIRED.  An insurer filing a policy form under Section </w:t>
      </w:r>
      <w:r>
        <w:t xml:space="preserve">2171.003</w:t>
      </w:r>
      <w:r>
        <w:t xml:space="preserve"> or rates and related information under Section </w:t>
      </w:r>
      <w:r>
        <w:t xml:space="preserve">2171.004</w:t>
      </w:r>
      <w:r>
        <w:t xml:space="preserve"> shall clearly identify the group of businesses or the association to be insured. 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9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2171.006.</w:t>
      </w:r>
      <w:r xml:space="preserve">
        <w:t> </w:t>
      </w:r>
      <w:r xml:space="preserve">
        <w:t> </w:t>
      </w:r>
      <w:r>
        <w:t xml:space="preserve">DISCLOSURES REQUIRED.  (a)</w:t>
      </w:r>
      <w:r xml:space="preserve">
        <w:t> </w:t>
      </w:r>
      <w:r xml:space="preserve">
        <w:t> </w:t>
      </w:r>
      <w:r>
        <w:t xml:space="preserve">During an application for an insurance policy issued under Section </w:t>
      </w:r>
      <w:r>
        <w:t xml:space="preserve">2171.002</w:t>
      </w:r>
      <w:r>
        <w:t xml:space="preserve">, an insurer must provide to each applicant a written disclosure of whether the policy has a shared aggregate limit and, if applicable, the amount of the limit.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 later than the 30th day after the date an insurer issues, delivers, or renews an insurance policy under Section </w:t>
      </w:r>
      <w:r>
        <w:t xml:space="preserve">2171.002</w:t>
      </w:r>
      <w:r>
        <w:t xml:space="preserve">, the insurer must deliver the following documents to each member covered by the policy: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copy of the certificate of insurance;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copy of the policy.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692 (H.B. </w:t>
      </w:r>
      <w:hyperlink w:docLocation="table" r:id="rId20">
        <w:r>
          <w:rPr>
            <w:rStyle w:val="Hyperlink"/>
          </w:rPr>
          <w:t>3388</w:t>
        </w:r>
      </w:hyperlink>
      <w:r>
        <w:t xml:space="preserve">), Sec. 2, eff. June 20,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2171.007.</w:t>
      </w:r>
      <w:r xml:space="preserve">
        <w:t> </w:t>
      </w:r>
      <w:r xml:space="preserve">
        <w:t> </w:t>
      </w:r>
      <w:r>
        <w:t xml:space="preserve">INCIDENTAL CASUALTY AND LIABILITY COVERAGE.</w:t>
      </w:r>
      <w:r xml:space="preserve">
        <w:t> </w:t>
      </w:r>
      <w:r xml:space="preserve">
        <w:t> </w:t>
      </w:r>
      <w:r>
        <w:t xml:space="preserve">An insurance policy issued under Section </w:t>
      </w:r>
      <w:r>
        <w:t xml:space="preserve">2171.002</w:t>
      </w:r>
      <w:r>
        <w:t xml:space="preserve"> may contain casualty and liability coverage that is incidental to the property risk covered under the policy.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692 (H.B. </w:t>
      </w:r>
      <w:hyperlink w:docLocation="table" r:id="rId21">
        <w:r>
          <w:rPr>
            <w:rStyle w:val="Hyperlink"/>
          </w:rPr>
          <w:t>3388</w:t>
        </w:r>
      </w:hyperlink>
      <w:r>
        <w:t xml:space="preserve">), Sec. 2, eff. June 20,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2171.008.</w:t>
      </w:r>
      <w:r xml:space="preserve">
        <w:t> </w:t>
      </w:r>
      <w:r xml:space="preserve">
        <w:t> </w:t>
      </w:r>
      <w:r>
        <w:t xml:space="preserve">APPLICABILITY TO SURPLUS LINES.  (a)</w:t>
      </w:r>
      <w:r xml:space="preserve">
        <w:t> </w:t>
      </w:r>
      <w:r xml:space="preserve">
        <w:t> </w:t>
      </w:r>
      <w:r>
        <w:t xml:space="preserve">Eligible surplus lines insurers are subject to this chapter, other than Sections </w:t>
      </w:r>
      <w:r>
        <w:t xml:space="preserve">2171.003</w:t>
      </w:r>
      <w:r>
        <w:t xml:space="preserve">, </w:t>
      </w:r>
      <w:r>
        <w:t xml:space="preserve">2171.004</w:t>
      </w:r>
      <w:r>
        <w:t xml:space="preserve">, and </w:t>
      </w:r>
      <w:r>
        <w:t xml:space="preserve">2171.005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surplus lines agent is required to make a diligent effort, as described by Section </w:t>
      </w:r>
      <w:r>
        <w:t xml:space="preserve">981.004</w:t>
      </w:r>
      <w:r>
        <w:t xml:space="preserve">(a)(1), only with respect to a group policy issued under Section </w:t>
      </w:r>
      <w:r>
        <w:t xml:space="preserve">2171.002</w:t>
      </w:r>
      <w:r>
        <w:t xml:space="preserve"> and only on an annual basis, rather than individually for each group member added during the policy period.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Notwithstanding Section </w:t>
      </w:r>
      <w:r>
        <w:t xml:space="preserve">981.213</w:t>
      </w:r>
      <w:r>
        <w:t xml:space="preserve">, a surplus lines agent is required to report to and file with the Surplus Lines Stamping Office of Texas only the group policy issued under Section </w:t>
      </w:r>
      <w:r>
        <w:t xml:space="preserve">2171.002</w:t>
      </w:r>
      <w:r>
        <w:t xml:space="preserve">, rather than each certificate or evidence of insurance issued to the group members.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692 (H.B. </w:t>
      </w:r>
      <w:hyperlink w:docLocation="table" r:id="rId22">
        <w:r>
          <w:rPr>
            <w:rStyle w:val="Hyperlink"/>
          </w:rPr>
          <w:t>3388</w:t>
        </w:r>
      </w:hyperlink>
      <w:r>
        <w:t xml:space="preserve">), Sec. 2, eff. June 20,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2171.009.</w:t>
      </w:r>
      <w:r xml:space="preserve">
        <w:t> </w:t>
      </w:r>
      <w:r xml:space="preserve">
        <w:t> </w:t>
      </w:r>
      <w:r>
        <w:t xml:space="preserve">RULES.</w:t>
      </w:r>
      <w:r xml:space="preserve">
        <w:t> </w:t>
      </w:r>
      <w:r xml:space="preserve">
        <w:t> </w:t>
      </w:r>
      <w:r>
        <w:t xml:space="preserve">The commissioner may adopt rules to implement and administer this chapter.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692 (H.B. </w:t>
      </w:r>
      <w:hyperlink w:docLocation="table" r:id="rId23">
        <w:r>
          <w:rPr>
            <w:rStyle w:val="Hyperlink"/>
          </w:rPr>
          <w:t>3388</w:t>
        </w:r>
      </w:hyperlink>
      <w:r>
        <w:t xml:space="preserve">), Sec. 2, eff. June 20,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2017F.HTM" TargetMode="External" Id="rId14" /><Relationship Type="http://schemas.openxmlformats.org/officeDocument/2006/relationships/hyperlink" Target="http://capitol.texas.gov/tlodocs/89R/billtext/html/HB03388F.HTM" TargetMode="External" Id="rId15" /><Relationship Type="http://schemas.openxmlformats.org/officeDocument/2006/relationships/hyperlink" Target="http://capitol.texas.gov/tlodocs/79R/billtext/html/HB02017F.HTM" TargetMode="External" Id="rId16" /><Relationship Type="http://schemas.openxmlformats.org/officeDocument/2006/relationships/hyperlink" Target="http://capitol.texas.gov/tlodocs/79R/billtext/html/HB02017F.HTM" TargetMode="External" Id="rId17" /><Relationship Type="http://schemas.openxmlformats.org/officeDocument/2006/relationships/hyperlink" Target="http://capitol.texas.gov/tlodocs/79R/billtext/html/HB02017F.HTM" TargetMode="External" Id="rId18" /><Relationship Type="http://schemas.openxmlformats.org/officeDocument/2006/relationships/hyperlink" Target="http://capitol.texas.gov/tlodocs/79R/billtext/html/HB02017F.HTM" TargetMode="External" Id="rId19" /><Relationship Type="http://schemas.openxmlformats.org/officeDocument/2006/relationships/hyperlink" Target="http://capitol.texas.gov/tlodocs/89R/billtext/html/HB03388F.HTM" TargetMode="External" Id="rId20" /><Relationship Type="http://schemas.openxmlformats.org/officeDocument/2006/relationships/hyperlink" Target="http://capitol.texas.gov/tlodocs/89R/billtext/html/HB03388F.HTM" TargetMode="External" Id="rId21" /><Relationship Type="http://schemas.openxmlformats.org/officeDocument/2006/relationships/hyperlink" Target="http://capitol.texas.gov/tlodocs/89R/billtext/html/HB03388F.HTM" TargetMode="External" Id="rId22" /><Relationship Type="http://schemas.openxmlformats.org/officeDocument/2006/relationships/hyperlink" Target="http://capitol.texas.gov/tlodocs/89R/billtext/html/HB03388F.HTM" TargetMode="External" Id="rId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