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253. CASUALTY INSURANCE AND FIDELITY, GUARANTY, AND SURETY BOND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253.001.</w:t>
      </w:r>
      <w:r xml:space="preserve">
        <w:t> </w:t>
      </w:r>
      <w:r xml:space="preserve">
        <w:t> </w:t>
      </w:r>
      <w:r>
        <w:t xml:space="preserve">MAINTENANCE TAX IMPOSED.  A maintenance tax is imposed on each authorized insurer with gross premiums subject to taxation under Section </w:t>
      </w:r>
      <w:r>
        <w:t xml:space="preserve">253.003</w:t>
      </w:r>
      <w:r>
        <w:t xml:space="preserve">.  The tax required by this chapter is in addition to other taxes imposed that are not in conflict with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253.002.</w:t>
      </w:r>
      <w:r xml:space="preserve">
        <w:t> </w:t>
      </w:r>
      <w:r xml:space="preserve">
        <w:t> </w:t>
      </w:r>
      <w:r>
        <w:t xml:space="preserve">MAXIMUM RATE;  ANNUAL ADJUSTMENT.  (a)  The rate of assessment set by the commissioner may not exceed 0.4 percent of the gross premiums subject to taxation under Section </w:t>
      </w:r>
      <w:r>
        <w:t xml:space="preserve">253.003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tax so that the tax imposed that year, together with any unexpended funds produced by the tax, produces the amount the commissioner determines is necessary to pay the expenses during the succeeding year of regulating all classes of insurance specified under Section </w:t>
      </w:r>
      <w:r>
        <w:t xml:space="preserve">253.003</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2C.003,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253.003.</w:t>
      </w:r>
      <w:r xml:space="preserve">
        <w:t> </w:t>
      </w:r>
      <w:r xml:space="preserve">
        <w:t> </w:t>
      </w:r>
      <w:r>
        <w:t xml:space="preserve">PREMIUMS SUBJECT TO TAXATION.  An insurer shall pay maintenance taxes under this chapter on the correctly reported gross premiums from writing a class of insurance specified under:</w:t>
      </w:r>
    </w:p>
    <w:p w:rsidR="003F3435" w:rsidRDefault="0032493E">
      <w:pPr>
        <w:spacing w:line="480" w:lineRule="auto"/>
        <w:ind w:firstLine="1440"/>
        <w:jc w:val="both"/>
      </w:pPr>
      <w:r>
        <w:t xml:space="preserve">(1)</w:t>
      </w:r>
      <w:r xml:space="preserve">
        <w:t> </w:t>
      </w:r>
      <w:r xml:space="preserve">
        <w:t> </w:t>
      </w:r>
      <w:r>
        <w:t xml:space="preserve">Chapters </w:t>
      </w:r>
      <w:r>
        <w:t xml:space="preserve">2008</w:t>
      </w:r>
      <w:r>
        <w:t xml:space="preserve">, </w:t>
      </w:r>
      <w:r>
        <w:t xml:space="preserve">2251</w:t>
      </w:r>
      <w:r>
        <w:t xml:space="preserve">, and </w:t>
      </w:r>
      <w:r>
        <w:t xml:space="preserve">2252</w:t>
      </w:r>
      <w:r>
        <w:t xml:space="preserve">;</w:t>
      </w:r>
    </w:p>
    <w:p w:rsidR="003F3435" w:rsidRDefault="0032493E">
      <w:pPr>
        <w:spacing w:line="480" w:lineRule="auto"/>
        <w:ind w:firstLine="1440"/>
        <w:jc w:val="both"/>
      </w:pPr>
      <w:r>
        <w:t xml:space="preserve">(2)</w:t>
      </w:r>
      <w:r xml:space="preserve">
        <w:t> </w:t>
      </w:r>
      <w:r xml:space="preserve">
        <w:t> </w:t>
      </w:r>
      <w:r>
        <w:t xml:space="preserve">Subchapter B, Chapter 5;</w:t>
      </w:r>
    </w:p>
    <w:p w:rsidR="003F3435" w:rsidRDefault="0032493E">
      <w:pPr>
        <w:spacing w:line="480" w:lineRule="auto"/>
        <w:ind w:firstLine="1440"/>
        <w:jc w:val="both"/>
      </w:pPr>
      <w:r>
        <w:t xml:space="preserve">(3)</w:t>
      </w:r>
      <w:r xml:space="preserve">
        <w:t> </w:t>
      </w:r>
      <w:r xml:space="preserve">
        <w:t> </w:t>
      </w:r>
      <w:r>
        <w:t xml:space="preserve">Subchapter </w:t>
      </w:r>
      <w:r>
        <w:t xml:space="preserve">C</w:t>
      </w:r>
      <w:r>
        <w:t xml:space="preserve">, Chapter </w:t>
      </w:r>
      <w:r>
        <w:t xml:space="preserve">1806</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A</w:t>
      </w:r>
      <w:r>
        <w:t xml:space="preserve">, Chapter </w:t>
      </w:r>
      <w:r>
        <w:t xml:space="preserve">2301</w:t>
      </w:r>
      <w:r>
        <w:t xml:space="preserve">; and</w:t>
      </w:r>
    </w:p>
    <w:p w:rsidR="003F3435" w:rsidRDefault="0032493E">
      <w:pPr>
        <w:spacing w:line="480" w:lineRule="auto"/>
        <w:ind w:firstLine="1440"/>
        <w:jc w:val="both"/>
      </w:pPr>
      <w:r>
        <w:t xml:space="preserve">(5)</w:t>
      </w:r>
      <w:r xml:space="preserve">
        <w:t> </w:t>
      </w:r>
      <w:r xml:space="preserve">
        <w:t> </w:t>
      </w:r>
      <w:r>
        <w:t xml:space="preserve">Subtitle B, Title 10.</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2C.004,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253.004.</w:t>
      </w:r>
      <w:r xml:space="preserve">
        <w:t> </w:t>
      </w:r>
      <w:r xml:space="preserve">
        <w:t> </w:t>
      </w:r>
      <w:r>
        <w:t xml:space="preserve">MAINTENANCE TAX DUE DATES.  (a)  The insurer shall pay the maintenance tax annually or semiannually, as determined by the comptroller.</w:t>
      </w:r>
    </w:p>
    <w:p w:rsidR="003F3435" w:rsidRDefault="0032493E">
      <w:pPr>
        <w:spacing w:line="480" w:lineRule="auto"/>
        <w:ind w:firstLine="720"/>
        <w:jc w:val="both"/>
      </w:pPr>
      <w:r>
        <w:t xml:space="preserve">(b)</w:t>
      </w:r>
      <w:r xml:space="preserve">
        <w:t> </w:t>
      </w:r>
      <w:r xml:space="preserve">
        <w:t> </w:t>
      </w:r>
      <w:r>
        <w:t xml:space="preserve">The comptroller may require semiannual payment only from an insurer whose maintenance tax liability under this chapter for the previous tax year was at least $2,000.</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