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254. MOTOR VEHICLE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MAINTENANCE TAX IMPOSED.  A maintenance tax is imposed on each authorized insurer with gross premiums subject to taxation under Section </w:t>
      </w:r>
      <w:r>
        <w:t xml:space="preserve">254.003</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MAXIMUM RATE;  ANNUAL ADJUSTMENT.  (a)  The rate of assessment set by the commissioner may not exceed 0.2 percent of the gross premiums subject to taxation under Section </w:t>
      </w:r>
      <w:r>
        <w:t xml:space="preserve">254.003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motor vehicle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w:t>
      </w:r>
      <w:r xml:space="preserve">
        <w:t> </w:t>
      </w:r>
      <w:r xml:space="preserve">
        <w:t> </w:t>
      </w:r>
      <w:r>
        <w:t xml:space="preserve">PREMIUMS SUBJECT TO TAXATION.  An insurer shall pay maintenance taxes under this chapter on the correctly reported gross premiums from writing motor vehicle insurance in this state, including personal and commercial automobile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4">
        <w:r>
          <w:rPr>
            <w:rStyle w:val="Hyperlink"/>
          </w:rPr>
          <w:t>3315</w:t>
        </w:r>
      </w:hyperlink>
      <w:r>
        <w:t xml:space="preserve">), Sec. 13,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254.004.</w:t>
      </w:r>
      <w:r xml:space="preserve">
        <w:t> </w:t>
      </w:r>
      <w:r xml:space="preserve">
        <w:t> </w:t>
      </w:r>
      <w:r>
        <w:t xml:space="preserve">MAINTENANCE TAX DUE DATES.  (a)  The insurer shall pay the maintenance tax annually or semiannually,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or other periodic payment only from an insurer whose maintenance tax liability under this chapter for the previous tax year was at least $2,000.</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