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261. TEXAS INSURANCE EXCHANGE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261.001.</w:t>
      </w:r>
      <w:r xml:space="preserve">
        <w:t> </w:t>
      </w:r>
      <w:r xml:space="preserve">
        <w:t> </w:t>
      </w:r>
      <w:r>
        <w:t xml:space="preserve">DEFINITION.  In this chapter, "exchange" means the Texas Insurance Exchange.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261.002.</w:t>
      </w:r>
      <w:r xml:space="preserve">
        <w:t> </w:t>
      </w:r>
      <w:r xml:space="preserve">
        <w:t> </w:t>
      </w:r>
      <w:r>
        <w:t xml:space="preserve">MAINTENANCE TAX IMPOSED.  A maintenance tax is imposed on the gross premiums paid through the exchange and subject to taxation under Section </w:t>
      </w:r>
      <w:r>
        <w:t xml:space="preserve">261.004</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261.003.</w:t>
      </w:r>
      <w:r xml:space="preserve">
        <w:t> </w:t>
      </w:r>
      <w:r xml:space="preserve">
        <w:t> </w:t>
      </w:r>
      <w:r>
        <w:t xml:space="preserve">MAXIMUM RATE;  ANNUAL ADJUSTMENT.  (a)  The rate of assessment set by the commissioner may not exceed one percent of the gross premiums subject to taxation under Section </w:t>
      </w:r>
      <w:r>
        <w:t xml:space="preserve">261.004</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during the succeeding year of regulating all classes of insurance specified under Chapter </w:t>
      </w:r>
      <w:r>
        <w:t xml:space="preserve">2204</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2C.008,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261.004.</w:t>
      </w:r>
      <w:r xml:space="preserve">
        <w:t> </w:t>
      </w:r>
      <w:r xml:space="preserve">
        <w:t> </w:t>
      </w:r>
      <w:r>
        <w:t xml:space="preserve">PREMIUMS SUBJECT TO TAXATION.  The exchange shall pay maintenance taxes under this chapter on the correctly reported gross premiums paid through the exchange on all classes of insurance specified under Chapter </w:t>
      </w:r>
      <w:r>
        <w:t xml:space="preserve">2204</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2C.009,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261.005.</w:t>
      </w:r>
      <w:r xml:space="preserve">
        <w:t> </w:t>
      </w:r>
      <w:r xml:space="preserve">
        <w:t> </w:t>
      </w:r>
      <w:r>
        <w:t xml:space="preserve">MAINTENANCE TAX DUE DATES.  The exchange shall pay the maintenance tax annually, semiannually, or on another periodic basis, as determined by the comptroller.</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