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11. TITLE INSURANCE</w:t>
      </w:r>
    </w:p>
    <w:p w:rsidR="003F3435" w:rsidRDefault="0032493E">
      <w:pPr>
        <w:spacing w:line="480" w:lineRule="auto"/>
        <w:jc w:val="center"/>
      </w:pPr>
      <w:r>
        <w:t xml:space="preserve">SUBTITLE E. THE BUSINESS OF TITLE INSURANCE</w:t>
      </w:r>
    </w:p>
    <w:p w:rsidR="003F3435" w:rsidRDefault="0032493E">
      <w:pPr>
        <w:spacing w:line="480" w:lineRule="auto"/>
        <w:jc w:val="center"/>
      </w:pPr>
      <w:r>
        <w:t xml:space="preserve">CHAPTER 2701.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2701.001.</w:t>
      </w:r>
      <w:r xml:space="preserve">
        <w:t> </w:t>
      </w:r>
      <w:r xml:space="preserve">
        <w:t> </w:t>
      </w:r>
      <w:r>
        <w:t xml:space="preserve">ABSTRACT OF TITLE DISTINGUISHED;  PROHIBITION ON REGULATION OF ABSTRACT OF TITLE.  (a)  In this section, "commitment for title insurance" means a title insurance form under which a title insurance company offers to issue a title insurance policy subject to stated exceptions, requirements, and terms.  The term includes a mortgagee title policy binder on an interim construction loan.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commitment for title insurance constitutes a statement of the terms and conditions on which a title insurance company is willing to issue its policy.  A title insurance policy or other title insurance form constitutes a statement of the terms and conditions of the indemnity under the policy or form.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abstract of title prepared from an abstract plant for a chain of title to real property described in the abstract of title is not title insurance, a commitment for title insurance, or any other title insurance form.  A commitment for title insurance, title insurance policy, or other title insurance form is not an abstract of title.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commissioner may not adopt rules relating to abstracts of title.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6,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2701.002.</w:t>
      </w:r>
      <w:r xml:space="preserve">
        <w:t> </w:t>
      </w:r>
      <w:r xml:space="preserve">
        <w:t> </w:t>
      </w:r>
      <w:r>
        <w:t xml:space="preserve">CONSTRUCTION OF CHAPTER </w:t>
      </w:r>
      <w:r>
        <w:t xml:space="preserve">601</w:t>
      </w:r>
      <w:r>
        <w:t xml:space="preserve">, BUSINESS &amp; COMMERCE CODE.  Chapter </w:t>
      </w:r>
      <w:r>
        <w:t xml:space="preserve">601</w:t>
      </w:r>
      <w:r>
        <w:t xml:space="preserve">, Business &amp; Commerce Code, is a consumer protection law when construed in connection with a title insurance policy issued in this state.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6, eff. April 1, 2005.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2.22,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