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13. REGULATION OF PROFESSIONALS</w:t>
      </w:r>
    </w:p>
    <w:p w:rsidR="003F3435" w:rsidRDefault="0032493E">
      <w:pPr>
        <w:spacing w:line="480" w:lineRule="auto"/>
        <w:jc w:val="center"/>
      </w:pPr>
      <w:r>
        <w:t xml:space="preserve">SUBTITLE A. GENERAL PROVISIONS</w:t>
      </w:r>
    </w:p>
    <w:p w:rsidR="003F3435" w:rsidRDefault="0032493E">
      <w:pPr>
        <w:spacing w:line="480" w:lineRule="auto"/>
        <w:jc w:val="center"/>
      </w:pPr>
      <w:r>
        <w:t xml:space="preserve">CHAPTER 4007.  NOTICE TO DEPARTMENT BY CERTAIN PROPERTY AND CASUALTY INSURANCE COMPANIES REGARDING AGENTS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4007.001.</w:t>
      </w:r>
      <w:r xml:space="preserve">
        <w:t> </w:t>
      </w:r>
      <w:r xml:space="preserve">
        <w:t> </w:t>
      </w:r>
      <w:r>
        <w:t xml:space="preserve">APPLICABILITY OF CHAPTER.  This chapter applies only to an insurance company authorized to engage in the business of insurance in this state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provision of: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Chapter 5, </w:t>
      </w:r>
      <w:r>
        <w:t xml:space="preserve">1805</w:t>
      </w:r>
      <w:r>
        <w:t xml:space="preserve">, or </w:t>
      </w:r>
      <w:r>
        <w:t xml:space="preserve">2171</w:t>
      </w:r>
      <w:r>
        <w:t xml:space="preserve">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Subtitle B, C, D, E, F, H, or I, Title 10;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Chapter </w:t>
      </w:r>
      <w:r>
        <w:t xml:space="preserve">861</w:t>
      </w:r>
      <w:r>
        <w:t xml:space="preserve">, </w:t>
      </w:r>
      <w:r>
        <w:t xml:space="preserve">862</w:t>
      </w:r>
      <w:r>
        <w:t xml:space="preserve">, </w:t>
      </w:r>
      <w:r>
        <w:t xml:space="preserve">883</w:t>
      </w:r>
      <w:r>
        <w:t xml:space="preserve">, </w:t>
      </w:r>
      <w:r>
        <w:t xml:space="preserve">911</w:t>
      </w:r>
      <w:r>
        <w:t xml:space="preserve">, </w:t>
      </w:r>
      <w:r>
        <w:t xml:space="preserve">912</w:t>
      </w:r>
      <w:r>
        <w:t xml:space="preserve">, </w:t>
      </w:r>
      <w:r>
        <w:t xml:space="preserve">941</w:t>
      </w:r>
      <w:r>
        <w:t xml:space="preserve">, </w:t>
      </w:r>
      <w:r>
        <w:t xml:space="preserve">942</w:t>
      </w:r>
      <w:r>
        <w:t xml:space="preserve">, </w:t>
      </w:r>
      <w:r>
        <w:t xml:space="preserve">984</w:t>
      </w:r>
      <w:r>
        <w:t xml:space="preserve">, or </w:t>
      </w:r>
      <w:r>
        <w:t xml:space="preserve">3503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730 (H.B. </w:t>
      </w:r>
      <w:hyperlink w:docLocation="table" r:id="rId14">
        <w:r>
          <w:rPr>
            <w:rStyle w:val="Hyperlink"/>
          </w:rPr>
          <w:t>2636</w:t>
        </w:r>
      </w:hyperlink>
      <w:r>
        <w:t xml:space="preserve">), Sec. 1I.001,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4007.002.</w:t>
      </w:r>
      <w:r xml:space="preserve">
        <w:t> </w:t>
      </w:r>
      <w:r xml:space="preserve">
        <w:t> </w:t>
      </w:r>
      <w:r>
        <w:t xml:space="preserve">NOTICE TO DEPARTMENT REQUIRED.  (a)  On forms prescribed by the commissioner, an insurance company shall notify the department not later than the 30th day after the date on which: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balances due from an insurance agent for more than 90 days exceed $1 million or 10 percent of the company's policyholder surplus computed on December 31 of the preceding year or the most recent quarter if a report is specifically required by the department;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agent's authority to settle claims for the company is withdrawn;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contract with an agent is canceled or terminated.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insurance company may comply with the notification requirement of Subsection (a)(1) by submitting a single annual report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company routinely operates above the limit established by Subsection (a)(1);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commissioner verifies that fact under a procedure adopted by the commissioner.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730 (H.B. </w:t>
      </w:r>
      <w:hyperlink w:docLocation="table" r:id="rId15">
        <w:r>
          <w:rPr>
            <w:rStyle w:val="Hyperlink"/>
          </w:rPr>
          <w:t>2636</w:t>
        </w:r>
      </w:hyperlink>
      <w:r>
        <w:t xml:space="preserve">), Sec. 1I.001,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636F.HTM" TargetMode="External" Id="rId14" /><Relationship Type="http://schemas.openxmlformats.org/officeDocument/2006/relationships/hyperlink" Target="http://capitol.texas.gov/tlodocs/80R/billtext/html/HB02636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