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Chapter </w:t>
      </w:r>
      <w:r>
        <w:t xml:space="preserve">323</w:t>
      </w:r>
      <w:r>
        <w:t xml:space="preserve"> of the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understandable,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The Code Construction Act (Chapter </w:t>
      </w:r>
      <w:r>
        <w:t xml:space="preserve">311</w:t>
      </w:r>
      <w:r>
        <w:t xml:space="preserve"> of the Government Code)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INTERNAL REFERENCES.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reference to a title, chapter, or section without further identification is a reference to a title, chapter, or section of this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reference to a subtitle, subchapter, subsection, subdivision, paragraph, or other numbered or lettered unit without further identification is a reference to a unit of the next larger unit of this code in which the reference appears.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the statute.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1.005.</w:t>
      </w:r>
      <w:r xml:space="preserve">
        <w:t> </w:t>
      </w:r>
      <w:r xml:space="preserve">
        <w:t> </w:t>
      </w:r>
      <w:r>
        <w:t xml:space="preserve">DEFINITIONS.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"General-law municipality" means a municipality designated by Chapter </w:t>
      </w:r>
      <w:r>
        <w:t xml:space="preserve">5</w:t>
      </w:r>
      <w:r>
        <w:t xml:space="preserve"> as a Type A general-law municipality, Type B general-law municipality, or Type C general-law municipality.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"Home-rule municipality" means a municipality designated by Chapter </w:t>
      </w:r>
      <w:r>
        <w:t xml:space="preserve">5</w:t>
      </w:r>
      <w:r>
        <w:t xml:space="preserve"> as a home-rule municipality.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"Municipality" means a general-law municipality, home-rule municipality, or special-law municipality.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"Special-law municipality" means a municipality designated by Chapter </w:t>
      </w:r>
      <w:r>
        <w:t xml:space="preserve">5</w:t>
      </w:r>
      <w:r>
        <w:t xml:space="preserve"> as a special-law municipality.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