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104. MUNICIPAL INVESTMENT OF TRUST FUNDS AND SPECIAL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CHAPTER APPLICABLE TO CERTAIN HOME-RULE MUNICIPALITIES.  This chapter applies only to a home-rule municipality with a population of one million or more whose charter provides for an elected comptroller, auditor, or treasurer.</w:t>
      </w:r>
    </w:p>
    <w:p w:rsidR="003F3435" w:rsidRDefault="0032493E">
      <w:pPr>
        <w:spacing w:line="480" w:lineRule="auto"/>
        <w:jc w:val="both"/>
      </w:pPr>
      <w:r>
        <w:t xml:space="preserve">Acts 1987, 70th Leg., ch. 149, Sec. 1, eff. Sept. 1, 1987.  Amended by Acts 1991, 72nd Leg., ch. 597, Sec. 86,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AUTHORITY TO MAKE INVESTMENTS.  (a)  The municipality may invest trust funds and special deposits in the custody of the municipality.</w:t>
      </w:r>
    </w:p>
    <w:p w:rsidR="003F3435" w:rsidRDefault="0032493E">
      <w:pPr>
        <w:spacing w:line="480" w:lineRule="auto"/>
        <w:ind w:firstLine="720"/>
        <w:jc w:val="both"/>
      </w:pPr>
      <w:r>
        <w:t xml:space="preserve">(b)</w:t>
      </w:r>
      <w:r xml:space="preserve">
        <w:t> </w:t>
      </w:r>
      <w:r xml:space="preserve">
        <w:t> </w:t>
      </w:r>
      <w:r>
        <w:t xml:space="preserve">The municipal official responsible for managing and conducting the municipality's fiscal affairs shall make the investments.  The investments are subject to the supervision and control of the governing body, as established by ordinance.</w:t>
      </w:r>
    </w:p>
    <w:p w:rsidR="003F3435" w:rsidRDefault="0032493E">
      <w:pPr>
        <w:spacing w:line="480" w:lineRule="auto"/>
        <w:ind w:firstLine="720"/>
        <w:jc w:val="both"/>
      </w:pPr>
      <w:r>
        <w:t xml:space="preserve">(c)</w:t>
      </w:r>
      <w:r xml:space="preserve">
        <w:t> </w:t>
      </w:r>
      <w:r xml:space="preserve">
        <w:t> </w:t>
      </w:r>
      <w:r>
        <w:t xml:space="preserve">The municipality may invest the funds in amounts that are not required for immediate disbursement according to official estimates by purchasing obligations of the United States government or by placing the funds in time deposit accounts with one or more depository banks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EFFECT OF EARLY WITHDRAWAL.  If any of the funds placed in time deposit accounts are required before maturity, they shall be made available by the depository bank, but the bank is not liable for interest earned on any amount withdrawn before maturity.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INTEREST.  The municipal official responsible for managing and conducting the fiscal affairs shall receive the interest earned on the investments and shall place the interest in the municipal general fund as compensation to the municipality for holding and handling the trust funds and special deposits for the benefit of the persons ultimately entitled to receive the funds and deposits.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CUMULATIVE EFFECT WITH CHARTER PROVISIONS.  This chapter is cumulative of the municipal powers of investment derived from the municipal charter.</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