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PURPOSE OF CODE.  (a)  This code is enacted as a part of the state's continuing statutory revision program, begun by the Texas Legislative Council in 1963 as directed by the legislature in Chapter 448, Acts of the 58th Legislature, Regular Session, 1963 (Article 5429b-1, Vernon's Texas Civil Statutes).  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general and permanent natural resources law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Acts 1977, 65th Leg., p. 2347,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CONSTRUCTION OF CODE.  The Code Construction Act (Chapter </w:t>
      </w:r>
      <w:r>
        <w:t xml:space="preserve">311</w:t>
      </w:r>
      <w:r>
        <w:t xml:space="preserve">, Government Code) applies to the construction of each provision in this code, except as otherwise expressly provided by this code.</w:t>
      </w:r>
    </w:p>
    <w:p w:rsidR="003F3435" w:rsidRDefault="0032493E">
      <w:pPr>
        <w:spacing w:line="480" w:lineRule="auto"/>
        <w:jc w:val="both"/>
      </w:pPr>
      <w:r>
        <w:t xml:space="preserve">Acts 1977, 65th Leg., p. 2347, ch. 871, art. I, Sec. 1, eff. Sept. 1, 1977.  Amended by Acts 1985, 69th Leg., ch. 479, Sec. 71,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PREEMPTION.</w:t>
      </w:r>
      <w:r xml:space="preserve">
        <w:t> </w:t>
      </w:r>
      <w:r xml:space="preserve">
        <w:t> </w:t>
      </w:r>
      <w:r>
        <w:t xml:space="preserve">Unless expressly authorized by another statute, a municipality or county may not adopt, enforce, or maintain an ordinance, order, or rule regulating conduct in a field of regulation that is occupied by a provision of this code.</w:t>
      </w:r>
      <w:r xml:space="preserve">
        <w:t> </w:t>
      </w:r>
      <w:r xml:space="preserve">
        <w:t> </w:t>
      </w:r>
      <w:r>
        <w:t xml:space="preserve">An ordinance, order, or rule that violates this section is void, unenforceable, and inconsistent with this code.</w:t>
      </w:r>
    </w:p>
    <w:p w:rsidR="003F3435" w:rsidRDefault="0032493E">
      <w:pPr>
        <w:spacing w:line="480" w:lineRule="auto"/>
        <w:jc w:val="both"/>
      </w:pPr>
      <w:r>
        <w:t xml:space="preserve">Added by Acts 2023, 88th Leg., R.S., Ch. 899 (H.B. </w:t>
      </w:r>
      <w:hyperlink w:docLocation="table" r:id="rId14">
        <w:r>
          <w:rPr>
            <w:rStyle w:val="Hyperlink"/>
          </w:rPr>
          <w:t>2127</w:t>
        </w:r>
      </w:hyperlink>
      <w:r>
        <w:t xml:space="preserve">), Sec. 13,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27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