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13. SPORTS, AMUSEMENTS, AND ENTERTAINMENT</w:t>
      </w:r>
    </w:p>
    <w:p w:rsidR="003F3435" w:rsidRDefault="0032493E">
      <w:pPr>
        <w:spacing w:line="480" w:lineRule="auto"/>
        <w:jc w:val="center"/>
      </w:pPr>
      <w:r>
        <w:t xml:space="preserve">SUBTITLE D. OTHER AMUSEMENTS AND ENTERTAINMENT</w:t>
      </w:r>
    </w:p>
    <w:p w:rsidR="003F3435" w:rsidRDefault="0032493E">
      <w:pPr>
        <w:spacing w:line="480" w:lineRule="auto"/>
        <w:jc w:val="center"/>
      </w:pPr>
      <w:r>
        <w:t xml:space="preserve">CHAPTER 2158.  SPECIAL EVENT PARKING CHARGE LIMITATION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2158.001.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"Institution of higher education" and "private or independent institution of higher education" have the meanings assigned by Section </w:t>
      </w:r>
      <w:r>
        <w:t xml:space="preserve">61.003</w:t>
      </w:r>
      <w:r>
        <w:t xml:space="preserve">, Education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"Parking facility," "parking facility owner," and "vehicle" have the meanings assigned by Section </w:t>
      </w:r>
      <w:r>
        <w:t xml:space="preserve">2308.002</w:t>
      </w:r>
      <w:r>
        <w:t xml:space="preserve">, Occupations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"Special event" includes a sporting event, convention, concert, exhibit, parade, or political rally.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1236 (S.B. </w:t>
      </w:r>
      <w:hyperlink w:docLocation="table" r:id="rId14">
        <w:r>
          <w:rPr>
            <w:rStyle w:val="Hyperlink"/>
          </w:rPr>
          <w:t>1296</w:t>
        </w:r>
      </w:hyperlink>
      <w:r>
        <w:t xml:space="preserve">), Sec. 19.001(a),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2158.002.</w:t>
      </w:r>
      <w:r xml:space="preserve">
        <w:t> </w:t>
      </w:r>
      <w:r xml:space="preserve">
        <w:t> </w:t>
      </w:r>
      <w:r>
        <w:t xml:space="preserve">LIMITATION OF PARKING CHARGE IN CONNECTION WITH SPECIAL EVENT.  (a)</w:t>
      </w:r>
      <w:r xml:space="preserve">
        <w:t> </w:t>
      </w:r>
      <w:r xml:space="preserve">
        <w:t> </w:t>
      </w:r>
      <w:r>
        <w:t xml:space="preserve">A parking facility owner may not charge for parking a vehicle in the parking facility in connection with a special event an amount that is more than two times the amount computed using the rate that is normally charged for parking a vehicle in the facility on that day of the week and at that time.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an institution of higher education or a private or independent institution of higher education.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1236 (S.B. </w:t>
      </w:r>
      <w:hyperlink w:docLocation="table" r:id="rId15">
        <w:r>
          <w:rPr>
            <w:rStyle w:val="Hyperlink"/>
          </w:rPr>
          <w:t>1296</w:t>
        </w:r>
      </w:hyperlink>
      <w:r>
        <w:t xml:space="preserve">), Sec. 19.001(a),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2158.003.</w:t>
      </w:r>
      <w:r xml:space="preserve">
        <w:t> </w:t>
      </w:r>
      <w:r xml:space="preserve">
        <w:t> </w:t>
      </w:r>
      <w:r>
        <w:t xml:space="preserve">CRIMINAL OFFENSE.  (a)</w:t>
      </w:r>
      <w:r xml:space="preserve">
        <w:t> </w:t>
      </w:r>
      <w:r xml:space="preserve">
        <w:t> </w:t>
      </w:r>
      <w:r>
        <w:t xml:space="preserve">A person commits an offense if the person violates Section </w:t>
      </w:r>
      <w:r>
        <w:t xml:space="preserve">2158.002</w:t>
      </w:r>
      <w:r>
        <w:t xml:space="preserve">(a).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It is a defense to prosecution under this section that the parking facility owner posted a conspicuous sign at least two feet wide and two feet high at the entrance to the parking facility stating: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 print at least six inches in height, the rate that is normally charged for parking a vehicle in the facility;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print at least six inches in height, the rate that is charged for parking a vehicle in the facility in connection with a special event.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1236 (S.B. </w:t>
      </w:r>
      <w:hyperlink w:docLocation="table" r:id="rId16">
        <w:r>
          <w:rPr>
            <w:rStyle w:val="Hyperlink"/>
          </w:rPr>
          <w:t>1296</w:t>
        </w:r>
      </w:hyperlink>
      <w:r>
        <w:t xml:space="preserve">), Sec. 19.001(a),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296F.HTM" TargetMode="External" Id="rId14" /><Relationship Type="http://schemas.openxmlformats.org/officeDocument/2006/relationships/hyperlink" Target="http://capitol.texas.gov/tlodocs/84R/billtext/html/SB01296F.HTM" TargetMode="External" Id="rId15" /><Relationship Type="http://schemas.openxmlformats.org/officeDocument/2006/relationships/hyperlink" Target="http://capitol.texas.gov/tlodocs/84R/billtext/html/SB0129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