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law encompassed by this code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1983, 68th Leg., p. 3478,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jc w:val="both"/>
      </w:pPr>
      <w:r>
        <w:t xml:space="preserve">Acts 1983, 68th Leg., p. 3478, ch. 576, Sec. 1, eff. Jan. 1, 1984.  Amended by Acts 1985, 69th Leg., ch. 479, Sec. 70,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INTERNAL REFERENCES.  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this code in which the reference appears.</w:t>
      </w:r>
    </w:p>
    <w:p w:rsidR="003F3435" w:rsidRDefault="0032493E">
      <w:pPr>
        <w:spacing w:line="480" w:lineRule="auto"/>
        <w:jc w:val="both"/>
      </w:pPr>
      <w:r>
        <w:t xml:space="preserve">Acts 1983, 68th Leg., p. 3479,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PREEMPTION.  (a)</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ind w:firstLine="720"/>
        <w:jc w:val="both"/>
      </w:pPr>
      <w:r>
        <w:t xml:space="preserve">(b)</w:t>
      </w:r>
      <w:r xml:space="preserve">
        <w:t> </w:t>
      </w:r>
      <w:r xml:space="preserve">
        <w:t> </w:t>
      </w:r>
      <w:r>
        <w:t xml:space="preserve">For purposes of Subsection (a), a field occupied by a provision of this code includes an ordinance, order, or rule regulating evictions or otherwise prohibiting, restricting, or delaying delivery of a notice to vacate or filing a suit to recover possession of the premises under Chapter </w:t>
      </w:r>
      <w:r>
        <w:t xml:space="preserve">24</w:t>
      </w:r>
      <w:r>
        <w:t xml:space="preserve">.</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15,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