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3815. GREATER SOUTHEAST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Greater Southeast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3815.002.</w:t>
      </w:r>
      <w:r xml:space="preserve">
        <w:t> </w:t>
      </w:r>
      <w:r xml:space="preserve">
        <w:t> </w:t>
      </w:r>
      <w:r>
        <w:t xml:space="preserve">GREATER SOUTHEAST MANAGEMENT DISTRICT.  A special district known as the "Greater Southeast Management District" is a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southeast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17, 2001,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money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3815.005.</w:t>
      </w:r>
      <w:r xml:space="preserve">
        <w:t> </w:t>
      </w:r>
      <w:r xml:space="preserve">
        <w:t> </w:t>
      </w:r>
      <w:r>
        <w:t xml:space="preserve">DISTRICT TERRITORY.  (a)  The district is composed of the territory described by Section 1, Chapter 1476,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3815.105</w:t>
      </w:r>
      <w:r>
        <w:t xml:space="preserve"> or its predecessor statute, former Section 376.479, Local Government Code, as added by Chapter 1476,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1476, Acts of the 77th Legislature, Regular Session, 2001, enacting former Section 376.454,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3815.006.</w:t>
      </w:r>
      <w:r xml:space="preserve">
        <w:t> </w:t>
      </w:r>
      <w:r xml:space="preserve">
        <w:t> </w:t>
      </w:r>
      <w:r>
        <w:t xml:space="preserve">APPLICABILITY OF OTHER LAW.  Except as otherwise provided by this chapter, Chapter </w:t>
      </w:r>
      <w:r>
        <w:t xml:space="preserve">375</w:t>
      </w:r>
      <w:r>
        <w:t xml:space="preserve">, Local Government Code, applies to the district, the board, and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3815.051.</w:t>
      </w:r>
      <w:r xml:space="preserve">
        <w:t> </w:t>
      </w:r>
      <w:r xml:space="preserve">
        <w:t> </w:t>
      </w:r>
      <w:r>
        <w:t xml:space="preserve">BOARD OF DIRECTORS;  TERMS.  (a)  The district is governed by a board of 21 directors who serve staggered terms of four years, with 10 directors' terms expiring June 1 of an odd-numbered year and 11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9.</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3815.052.</w:t>
      </w:r>
      <w:r xml:space="preserve">
        <w:t> </w:t>
      </w:r>
      <w:r xml:space="preserve">
        <w:t> </w:t>
      </w:r>
      <w:r>
        <w:t xml:space="preserve">APPOINTMENT OF DIRECTORS.  The mayor and members of the governing body of the City of Houston shall appoint directors from persons recommended by the board who meet the qualifications prescribed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the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  If a department described by Subsection (a) is abolished, the board may appoint as a director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actively involved in activities in the southeast area of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3815.054.</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 and</w:t>
      </w:r>
    </w:p>
    <w:p w:rsidR="003F3435" w:rsidRDefault="0032493E">
      <w:pPr>
        <w:spacing w:line="480" w:lineRule="auto"/>
        <w:ind w:firstLine="1440"/>
        <w:jc w:val="both"/>
      </w:pPr>
      <w:r>
        <w:t xml:space="preserve">(3)</w:t>
      </w:r>
      <w:r xml:space="preserve">
        <w:t> </w:t>
      </w:r>
      <w:r xml:space="preserve">
        <w:t> </w:t>
      </w:r>
      <w:r>
        <w:t xml:space="preserve">the powers given to 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3.44,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3815.103.</w:t>
      </w:r>
      <w:r xml:space="preserve">
        <w:t> </w:t>
      </w:r>
      <w:r xml:space="preserve">
        <w:t> </w:t>
      </w:r>
      <w:r>
        <w:t xml:space="preserve">CONTRACTS;  GRANTS;  DONATIONS.  (a)  To protect the public interest, the district may contract with Harris County or the City of Houston for the county or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or accept donations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or</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ind w:firstLine="720"/>
        <w:jc w:val="both"/>
      </w:pPr>
      <w:r>
        <w:t xml:space="preserve">(e)</w:t>
      </w:r>
      <w:r xml:space="preserve">
        <w:t> </w:t>
      </w:r>
      <w:r xml:space="preserve">
        <w:t> </w:t>
      </w:r>
      <w:r>
        <w:t xml:space="preserve">The implementation of a project is a governmental function or service for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3815.104.</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3815.105.</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Houston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14,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3815.154.</w:t>
      </w:r>
      <w:r xml:space="preserve">
        <w:t> </w:t>
      </w:r>
      <w:r xml:space="preserve">
        <w:t> </w:t>
      </w:r>
      <w:r>
        <w:t xml:space="preserve">AUTHORITY TO IMPOSE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3815.155.</w:t>
      </w:r>
      <w:r xml:space="preserve">
        <w:t> </w:t>
      </w:r>
      <w:r xml:space="preserve">
        <w:t> </w:t>
      </w:r>
      <w:r>
        <w:t xml:space="preserve">MAINTENANCE TAX.  (a)  If authorized at an election held in accordance with Section </w:t>
      </w:r>
      <w:r>
        <w:t xml:space="preserve">3815.159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3815.157.</w:t>
      </w:r>
      <w:r xml:space="preserve">
        <w:t> </w:t>
      </w:r>
      <w:r xml:space="preserve">
        <w:t> </w:t>
      </w:r>
      <w:r>
        <w:t xml:space="preserve">PROPERTY EXEMPT FROM TAXES, IMPACT FEES, AND ASSESSMENTS.  (a)  The district may not impose a tax, impact fee, or assessment on a residential property or condominium.</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equipment, or facilities of a person who provides to the public cable television, gas, light, power,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3815.201.</w:t>
      </w:r>
      <w:r xml:space="preserve">
        <w:t> </w:t>
      </w:r>
      <w:r xml:space="preserve">
        <w:t> </w:t>
      </w:r>
      <w:r>
        <w:t xml:space="preserve">DISSOLUTION OF DISTRICT WITH OUTSTANDING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