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SPECIAL DISTRICT LOCAL LAWS CODE</w:t>
      </w:r>
    </w:p>
    <w:p w:rsidR="003F3435" w:rsidRDefault="0032493E">
      <w:pPr>
        <w:spacing w:line="480" w:lineRule="auto"/>
        <w:jc w:val="center"/>
      </w:pPr>
      <w:r>
        <w:t xml:space="preserve">TITLE 6. WATER AND WASTEWATER</w:t>
      </w:r>
    </w:p>
    <w:p w:rsidR="003F3435" w:rsidRDefault="0032493E">
      <w:pPr>
        <w:spacing w:line="480" w:lineRule="auto"/>
        <w:jc w:val="center"/>
      </w:pPr>
      <w:r>
        <w:t xml:space="preserve">SUBTITLE F. MUNICIPAL UTILITY DISTRICTS</w:t>
      </w:r>
    </w:p>
    <w:p w:rsidR="003F3435" w:rsidRDefault="0032493E">
      <w:pPr>
        <w:spacing w:line="480" w:lineRule="auto"/>
        <w:jc w:val="center"/>
      </w:pPr>
      <w:r>
        <w:t xml:space="preserve">CHAPTER 7947. LIBERTY COUNTY MUNICIPAL UTILITY DISTRICT NO. 3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A. GENERAL PROVISIONS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7947.001.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"district" means the Liberty County Municipal Utility District No. 3.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4">
        <w:r>
          <w:rPr>
            <w:rStyle w:val="Hyperlink"/>
          </w:rPr>
          <w:t>4175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jc w:val="center"/>
      </w:pPr>
      <w:r>
        <w:t xml:space="preserve">SUBCHAPTER B. POWERS AND DUTIES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7947.051.</w:t>
      </w:r>
      <w:r xml:space="preserve">
        <w:t> </w:t>
      </w:r>
      <w:r xml:space="preserve">
        <w:t> </w:t>
      </w:r>
      <w:r>
        <w:t xml:space="preserve">EMINENT DOMAIN.  (a) The district may exercise the power of eminent domain as provided by this section only if the district submits a letter to the comptroller not later than December 31, 2015, in accordance with the requirements of Section </w:t>
      </w:r>
      <w:r>
        <w:t xml:space="preserve">2206.101</w:t>
      </w:r>
      <w:r>
        <w:t xml:space="preserve">(b), Government Code, other than the requirement that the letter be submitted by the date specified by that section.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Notwithstanding the expiration of the district's authority to exercise the power of eminent domain under Section </w:t>
      </w:r>
      <w:r>
        <w:t xml:space="preserve">2206.101</w:t>
      </w:r>
      <w:r>
        <w:t xml:space="preserve">(c), Government Code,</w:t>
      </w:r>
      <w:r xml:space="preserve">
        <w:t> </w:t>
      </w:r>
      <w:r xml:space="preserve">
        <w:t> </w:t>
      </w:r>
      <w:r>
        <w:t xml:space="preserve">the district may exercise the power of eminent domain as</w:t>
      </w:r>
      <w:r xml:space="preserve">
        <w:t> </w:t>
      </w:r>
      <w:r xml:space="preserve">
        <w:t> </w:t>
      </w:r>
      <w:r>
        <w:t xml:space="preserve">provided by law applicable to the district on or after the 90th day after the date the district submits a letter in accordance with Subsection (a).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984 (H.B. </w:t>
      </w:r>
      <w:hyperlink w:docLocation="table" r:id="rId15">
        <w:r>
          <w:rPr>
            <w:rStyle w:val="Hyperlink"/>
          </w:rPr>
          <w:t>4175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HB04175F.HTM" TargetMode="External" Id="rId14" /><Relationship Type="http://schemas.openxmlformats.org/officeDocument/2006/relationships/hyperlink" Target="http://capitol.texas.gov/tlodocs/84R/billtext/html/HB04175F.HTM" TargetMode="External" Id="rId15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