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8163.  TRAVIS-CREEDMOOR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Travis-Creedmoor Municipal Utility District.</w:t>
      </w:r>
    </w:p>
    <w:p w:rsidR="003F3435" w:rsidRDefault="0032493E">
      <w:pPr>
        <w:spacing w:line="480" w:lineRule="auto"/>
        <w:jc w:val="both"/>
      </w:pPr>
      <w:r>
        <w:t xml:space="preserve">Added by Acts 2007, 80th Leg., R.S., Ch. 159 (S.B. </w:t>
      </w:r>
      <w:hyperlink w:docLocation="table" r:id="rId14">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8163.002.</w:t>
      </w:r>
      <w:r xml:space="preserve">
        <w:t> </w:t>
      </w:r>
      <w:r xml:space="preserve">
        <w:t> </w:t>
      </w:r>
      <w:r>
        <w:t xml:space="preserve">NATURE OF DISTRICT.  The district is a municipal utility district in Travis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159 (S.B. </w:t>
      </w:r>
      <w:hyperlink w:docLocation="table" r:id="rId15">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159 (S.B. </w:t>
      </w:r>
      <w:hyperlink w:docLocation="table" r:id="rId16">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arterials or main feeder roads or improvements in aid of those roads.</w:t>
      </w:r>
    </w:p>
    <w:p w:rsidR="003F3435" w:rsidRDefault="0032493E">
      <w:pPr>
        <w:spacing w:line="480" w:lineRule="auto"/>
        <w:jc w:val="both"/>
      </w:pPr>
      <w:r>
        <w:t xml:space="preserve">Added by Acts 2007, 80th Leg., R.S., Ch. 159 (S.B. </w:t>
      </w:r>
      <w:hyperlink w:docLocation="table" r:id="rId17">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159 (S.B. </w:t>
      </w:r>
      <w:hyperlink w:docLocation="table" r:id="rId18">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8163.053</w:t>
      </w:r>
      <w:r>
        <w:t xml:space="preserve">, directors serve staggered four-year terms.</w:t>
      </w:r>
    </w:p>
    <w:p w:rsidR="003F3435" w:rsidRDefault="0032493E">
      <w:pPr>
        <w:spacing w:line="480" w:lineRule="auto"/>
        <w:jc w:val="both"/>
      </w:pPr>
      <w:r>
        <w:t xml:space="preserve">Added by Acts 2007, 80th Leg., R.S., Ch. 159 (S.B. </w:t>
      </w:r>
      <w:hyperlink w:docLocation="table" r:id="rId19">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159 (S.B. </w:t>
      </w:r>
      <w:hyperlink w:docLocation="table" r:id="rId20">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8163.053.</w:t>
      </w:r>
      <w:r xml:space="preserve">
        <w:t> </w:t>
      </w:r>
      <w:r xml:space="preserve">
        <w:t> </w:t>
      </w:r>
      <w:r>
        <w:t xml:space="preserve">INITIAL DIRECTORS.  (a)  The initial board consists of:</w:t>
      </w:r>
    </w:p>
    <w:p w:rsidR="003F3435" w:rsidRDefault="0032493E">
      <w:pPr>
        <w:spacing w:line="480" w:lineRule="auto"/>
        <w:ind w:firstLine="1440"/>
        <w:jc w:val="both"/>
      </w:pPr>
      <w:r>
        <w:t xml:space="preserve">(1)</w:t>
      </w:r>
      <w:r xml:space="preserve">
        <w:t> </w:t>
      </w:r>
      <w:r xml:space="preserve">
        <w:t> </w:t>
      </w:r>
      <w:r>
        <w:t xml:space="preserve">David Donaldson;</w:t>
      </w:r>
    </w:p>
    <w:p w:rsidR="003F3435" w:rsidRDefault="0032493E">
      <w:pPr>
        <w:spacing w:line="480" w:lineRule="auto"/>
        <w:ind w:firstLine="1440"/>
        <w:jc w:val="both"/>
      </w:pPr>
      <w:r>
        <w:t xml:space="preserve">(2)</w:t>
      </w:r>
      <w:r xml:space="preserve">
        <w:t> </w:t>
      </w:r>
      <w:r xml:space="preserve">
        <w:t> </w:t>
      </w:r>
      <w:r>
        <w:t xml:space="preserve">Mike Fowler;</w:t>
      </w:r>
    </w:p>
    <w:p w:rsidR="003F3435" w:rsidRDefault="0032493E">
      <w:pPr>
        <w:spacing w:line="480" w:lineRule="auto"/>
        <w:ind w:firstLine="1440"/>
        <w:jc w:val="both"/>
      </w:pPr>
      <w:r>
        <w:t xml:space="preserve">(3)</w:t>
      </w:r>
      <w:r xml:space="preserve">
        <w:t> </w:t>
      </w:r>
      <w:r xml:space="preserve">
        <w:t> </w:t>
      </w:r>
      <w:r>
        <w:t xml:space="preserve">Jim Hemphill;</w:t>
      </w:r>
    </w:p>
    <w:p w:rsidR="003F3435" w:rsidRDefault="0032493E">
      <w:pPr>
        <w:spacing w:line="480" w:lineRule="auto"/>
        <w:ind w:firstLine="1440"/>
        <w:jc w:val="both"/>
      </w:pPr>
      <w:r>
        <w:t xml:space="preserve">(4)</w:t>
      </w:r>
      <w:r xml:space="preserve">
        <w:t> </w:t>
      </w:r>
      <w:r xml:space="preserve">
        <w:t> </w:t>
      </w:r>
      <w:r>
        <w:t xml:space="preserve">Kurt Johnson; and</w:t>
      </w:r>
    </w:p>
    <w:p w:rsidR="003F3435" w:rsidRDefault="0032493E">
      <w:pPr>
        <w:spacing w:line="480" w:lineRule="auto"/>
        <w:ind w:firstLine="1440"/>
        <w:jc w:val="both"/>
      </w:pPr>
      <w:r>
        <w:t xml:space="preserve">(5)</w:t>
      </w:r>
      <w:r xml:space="preserve">
        <w:t> </w:t>
      </w:r>
      <w:r xml:space="preserve">
        <w:t> </w:t>
      </w:r>
      <w:r>
        <w:t xml:space="preserve">Kerry Russell.</w:t>
      </w:r>
    </w:p>
    <w:p w:rsidR="003F3435" w:rsidRDefault="0032493E">
      <w:pPr>
        <w:spacing w:line="480" w:lineRule="auto"/>
        <w:ind w:firstLine="720"/>
        <w:jc w:val="both"/>
      </w:pPr>
      <w:r>
        <w:t xml:space="preserve">(b)</w:t>
      </w:r>
      <w:r xml:space="preserve">
        <w:t> </w:t>
      </w:r>
      <w:r xml:space="preserve">
        <w:t> </w:t>
      </w:r>
      <w:r>
        <w:t xml:space="preserve">Unless the initial board otherwise agrees, the initial directors shall draw lots to determine which two directors shall serve until the first regularly scheduled election of directors and which three directors shall serve until the second regularly scheduled election of directors.</w:t>
      </w:r>
    </w:p>
    <w:p w:rsidR="003F3435" w:rsidRDefault="0032493E">
      <w:pPr>
        <w:spacing w:line="480" w:lineRule="auto"/>
        <w:jc w:val="both"/>
      </w:pPr>
      <w:r>
        <w:t xml:space="preserve">Added by Acts 2007, 80th Leg., R.S., Ch. 159 (S.B. </w:t>
      </w:r>
      <w:hyperlink w:docLocation="table" r:id="rId21">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159 (S.B. </w:t>
      </w:r>
      <w:hyperlink w:docLocation="table" r:id="rId22">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159 (S.B. </w:t>
      </w:r>
      <w:hyperlink w:docLocation="table" r:id="rId23">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arterials or main feeder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jc w:val="both"/>
      </w:pPr>
      <w:r>
        <w:t xml:space="preserve">Added by Acts 2007, 80th Leg., R.S., Ch. 159 (S.B. </w:t>
      </w:r>
      <w:hyperlink w:docLocation="table" r:id="rId24">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159 (S.B. </w:t>
      </w:r>
      <w:hyperlink w:docLocation="table" r:id="rId25">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8163.105.</w:t>
      </w:r>
      <w:r xml:space="preserve">
        <w:t> </w:t>
      </w:r>
      <w:r xml:space="preserve">
        <w:t> </w:t>
      </w:r>
      <w:r>
        <w:t xml:space="preserve">NO ALLOCATION AGREEMENT.</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2011, 82nd Leg., R.S., Ch. 356 (H.B. </w:t>
      </w:r>
      <w:hyperlink w:docLocation="table" r:id="rId26">
        <w:r>
          <w:rPr>
            <w:rStyle w:val="Hyperlink"/>
          </w:rPr>
          <w:t>3814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8163.151.</w:t>
      </w:r>
      <w:r xml:space="preserve">
        <w:t> </w:t>
      </w:r>
      <w:r xml:space="preserve">
        <w:t> </w:t>
      </w:r>
      <w:r>
        <w:t xml:space="preserve">ELECTIONS REGARDING TAXES OR BONDS.  (a)  Except as provided by Section </w:t>
      </w:r>
      <w:r>
        <w:t xml:space="preserve">8163.201</w:t>
      </w:r>
      <w:r>
        <w:t xml:space="preserve">(b),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159 (S.B. </w:t>
      </w:r>
      <w:hyperlink w:docLocation="table" r:id="rId27">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8163.152.</w:t>
      </w:r>
      <w:r xml:space="preserve">
        <w:t> </w:t>
      </w:r>
      <w:r xml:space="preserve">
        <w:t> </w:t>
      </w:r>
      <w:r>
        <w:t xml:space="preserve">OPERATION AND MAINTENANCE TAX.  (a)  If authorized at an election held under Section </w:t>
      </w:r>
      <w:r>
        <w:t xml:space="preserve">8163.151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159 (S.B. </w:t>
      </w:r>
      <w:hyperlink w:docLocation="table" r:id="rId28">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8163.103</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8163.103</w:t>
      </w:r>
      <w:r>
        <w:t xml:space="preserve"> may not exceed one-fourth of the assessed value of the real property in the district.</w:t>
      </w:r>
    </w:p>
    <w:p w:rsidR="003F3435" w:rsidRDefault="0032493E">
      <w:pPr>
        <w:spacing w:line="480" w:lineRule="auto"/>
        <w:jc w:val="both"/>
      </w:pPr>
      <w:r>
        <w:t xml:space="preserve">Added by Acts 2007, 80th Leg., R.S., Ch. 159 (S.B. </w:t>
      </w:r>
      <w:hyperlink w:docLocation="table" r:id="rId29">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8163.202.</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159 (S.B. </w:t>
      </w:r>
      <w:hyperlink w:docLocation="table" r:id="rId30">
        <w:r>
          <w:rPr>
            <w:rStyle w:val="Hyperlink"/>
          </w:rPr>
          <w:t>1660</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8163.203.</w:t>
      </w:r>
      <w:r xml:space="preserve">
        <w:t> </w:t>
      </w:r>
      <w:r xml:space="preserve">
        <w:t> </w:t>
      </w:r>
      <w:r>
        <w:t xml:space="preserve">BOND PROVISIONS.  (a)</w:t>
      </w:r>
      <w:r xml:space="preserve">
        <w:t> </w:t>
      </w:r>
      <w:r xml:space="preserve">
        <w:t> </w:t>
      </w:r>
      <w:r>
        <w:t xml:space="preserve">Notwithstanding any other law, district bonds may be sold at a public or private sale according to terms and procedures the board determines.</w:t>
      </w:r>
    </w:p>
    <w:p w:rsidR="003F3435" w:rsidRDefault="0032493E">
      <w:pPr>
        <w:spacing w:line="480" w:lineRule="auto"/>
        <w:ind w:firstLine="720"/>
        <w:jc w:val="both"/>
      </w:pPr>
      <w:r>
        <w:t xml:space="preserve">(b)</w:t>
      </w:r>
      <w:r xml:space="preserve">
        <w:t> </w:t>
      </w:r>
      <w:r xml:space="preserve">
        <w:t> </w:t>
      </w:r>
      <w:r>
        <w:t xml:space="preserve">In connection with the issuance of bonds, the board may:</w:t>
      </w:r>
    </w:p>
    <w:p w:rsidR="003F3435" w:rsidRDefault="0032493E">
      <w:pPr>
        <w:spacing w:line="480" w:lineRule="auto"/>
        <w:ind w:firstLine="1440"/>
        <w:jc w:val="both"/>
      </w:pPr>
      <w:r>
        <w:t xml:space="preserve">(1)</w:t>
      </w:r>
      <w:r xml:space="preserve">
        <w:t> </w:t>
      </w:r>
      <w:r xml:space="preserve">
        <w:t> </w:t>
      </w:r>
      <w:r>
        <w:t xml:space="preserve">prescribe the maximum principal amount of bonds to be issued and the rate of interest the bonds may bear in accordance with Section </w:t>
      </w:r>
      <w:r>
        <w:t xml:space="preserve">1204.006</w:t>
      </w:r>
      <w:r>
        <w:t xml:space="preserve">, Government Code;</w:t>
      </w:r>
    </w:p>
    <w:p w:rsidR="003F3435" w:rsidRDefault="0032493E">
      <w:pPr>
        <w:spacing w:line="480" w:lineRule="auto"/>
        <w:ind w:firstLine="1440"/>
        <w:jc w:val="both"/>
      </w:pPr>
      <w:r>
        <w:t xml:space="preserve">(2)</w:t>
      </w:r>
      <w:r xml:space="preserve">
        <w:t> </w:t>
      </w:r>
      <w:r xml:space="preserve">
        <w:t> </w:t>
      </w:r>
      <w:r>
        <w:t xml:space="preserve">recite the public purpose for which one or more series of bonds are issued;</w:t>
      </w:r>
    </w:p>
    <w:p w:rsidR="003F3435" w:rsidRDefault="0032493E">
      <w:pPr>
        <w:spacing w:line="480" w:lineRule="auto"/>
        <w:ind w:firstLine="1440"/>
        <w:jc w:val="both"/>
      </w:pPr>
      <w:r>
        <w:t xml:space="preserve">(3)</w:t>
      </w:r>
      <w:r xml:space="preserve">
        <w:t> </w:t>
      </w:r>
      <w:r xml:space="preserve">
        <w:t> </w:t>
      </w:r>
      <w:r>
        <w:t xml:space="preserve">delegate to an officer or employee of the district the authority to effect the sale of one or more series of bonds; and</w:t>
      </w:r>
    </w:p>
    <w:p w:rsidR="003F3435" w:rsidRDefault="0032493E">
      <w:pPr>
        <w:spacing w:line="480" w:lineRule="auto"/>
        <w:ind w:firstLine="1440"/>
        <w:jc w:val="both"/>
      </w:pPr>
      <w:r>
        <w:t xml:space="preserve">(4)</w:t>
      </w:r>
      <w:r xml:space="preserve">
        <w:t> </w:t>
      </w:r>
      <w:r xml:space="preserve">
        <w:t> </w:t>
      </w:r>
      <w:r>
        <w:t xml:space="preserve">determine the period, not to exceed one year after the date the district adopts the order or resolution delegating the authority under Subdivision (3), during which that authority must be exercised.</w:t>
      </w:r>
    </w:p>
    <w:p w:rsidR="003F3435" w:rsidRDefault="0032493E">
      <w:pPr>
        <w:spacing w:line="480" w:lineRule="auto"/>
        <w:ind w:firstLine="720"/>
        <w:jc w:val="both"/>
      </w:pPr>
      <w:r>
        <w:t xml:space="preserve">(c)</w:t>
      </w:r>
      <w:r xml:space="preserve">
        <w:t> </w:t>
      </w:r>
      <w:r xml:space="preserve">
        <w:t> </w:t>
      </w:r>
      <w:r>
        <w:t xml:space="preserve">In exercising the authority delegated by the board to an officer or employee, the officer or employee may establish the terms and details related to the issuance and sale of the bonds, including:</w:t>
      </w:r>
    </w:p>
    <w:p w:rsidR="003F3435" w:rsidRDefault="0032493E">
      <w:pPr>
        <w:spacing w:line="480" w:lineRule="auto"/>
        <w:ind w:firstLine="1440"/>
        <w:jc w:val="both"/>
      </w:pPr>
      <w:r>
        <w:t xml:space="preserve">(1)</w:t>
      </w:r>
      <w:r xml:space="preserve">
        <w:t> </w:t>
      </w:r>
      <w:r xml:space="preserve">
        <w:t> </w:t>
      </w:r>
      <w:r>
        <w:t xml:space="preserve">the form and designation of the bonds;</w:t>
      </w:r>
    </w:p>
    <w:p w:rsidR="003F3435" w:rsidRDefault="0032493E">
      <w:pPr>
        <w:spacing w:line="480" w:lineRule="auto"/>
        <w:ind w:firstLine="1440"/>
        <w:jc w:val="both"/>
      </w:pPr>
      <w:r>
        <w:t xml:space="preserve">(2)</w:t>
      </w:r>
      <w:r xml:space="preserve">
        <w:t> </w:t>
      </w:r>
      <w:r xml:space="preserve">
        <w:t> </w:t>
      </w:r>
      <w:r>
        <w:t xml:space="preserve">the principal amount of the bonds and the amount of the bonds to mature in each year;</w:t>
      </w:r>
    </w:p>
    <w:p w:rsidR="003F3435" w:rsidRDefault="0032493E">
      <w:pPr>
        <w:spacing w:line="480" w:lineRule="auto"/>
        <w:ind w:firstLine="1440"/>
        <w:jc w:val="both"/>
      </w:pPr>
      <w:r>
        <w:t xml:space="preserve">(3)</w:t>
      </w:r>
      <w:r xml:space="preserve">
        <w:t> </w:t>
      </w:r>
      <w:r xml:space="preserve">
        <w:t> </w:t>
      </w:r>
      <w:r>
        <w:t xml:space="preserve">the dates, price, interest rates, interest payment dates, principal payment dates, and redemption features of the bonds; and</w:t>
      </w:r>
    </w:p>
    <w:p w:rsidR="003F3435" w:rsidRDefault="0032493E">
      <w:pPr>
        <w:spacing w:line="480" w:lineRule="auto"/>
        <w:ind w:firstLine="1440"/>
        <w:jc w:val="both"/>
      </w:pPr>
      <w:r>
        <w:t xml:space="preserve">(4)</w:t>
      </w:r>
      <w:r xml:space="preserve">
        <w:t> </w:t>
      </w:r>
      <w:r xml:space="preserve">
        <w:t> </w:t>
      </w:r>
      <w:r>
        <w:t xml:space="preserve">any other details relating to the issuance and sale of the bonds as specified by the board in the proceedings authorizing the issuance of the bonds.</w:t>
      </w:r>
    </w:p>
    <w:p w:rsidR="003F3435" w:rsidRDefault="0032493E">
      <w:pPr>
        <w:spacing w:line="480" w:lineRule="auto"/>
        <w:ind w:firstLine="720"/>
        <w:jc w:val="both"/>
      </w:pPr>
      <w:r>
        <w:t xml:space="preserve">(d)</w:t>
      </w:r>
      <w:r xml:space="preserve">
        <w:t> </w:t>
      </w:r>
      <w:r xml:space="preserve">
        <w:t> </w:t>
      </w:r>
      <w:r>
        <w:t xml:space="preserve">A finding or determination made by an officer or employee acting under the authority delegated to the officer or employee has the same force and effect as a finding or determination made by the board.</w:t>
      </w:r>
    </w:p>
    <w:p w:rsidR="003F3435" w:rsidRDefault="0032493E">
      <w:pPr>
        <w:spacing w:line="480" w:lineRule="auto"/>
        <w:jc w:val="both"/>
      </w:pPr>
      <w:r>
        <w:t xml:space="preserve">Added by Acts 2011, 82nd Leg., R.S., Ch. 356 (H.B. </w:t>
      </w:r>
      <w:hyperlink w:docLocation="table" r:id="rId31">
        <w:r>
          <w:rPr>
            <w:rStyle w:val="Hyperlink"/>
          </w:rPr>
          <w:t>3814</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60F.HTM" TargetMode="External" Id="rId14" /><Relationship Type="http://schemas.openxmlformats.org/officeDocument/2006/relationships/hyperlink" Target="http://capitol.texas.gov/tlodocs/80R/billtext/html/SB01660F.HTM" TargetMode="External" Id="rId15" /><Relationship Type="http://schemas.openxmlformats.org/officeDocument/2006/relationships/hyperlink" Target="http://capitol.texas.gov/tlodocs/80R/billtext/html/SB01660F.HTM" TargetMode="External" Id="rId16" /><Relationship Type="http://schemas.openxmlformats.org/officeDocument/2006/relationships/hyperlink" Target="http://capitol.texas.gov/tlodocs/80R/billtext/html/SB01660F.HTM" TargetMode="External" Id="rId17" /><Relationship Type="http://schemas.openxmlformats.org/officeDocument/2006/relationships/hyperlink" Target="http://capitol.texas.gov/tlodocs/80R/billtext/html/SB01660F.HTM" TargetMode="External" Id="rId18" /><Relationship Type="http://schemas.openxmlformats.org/officeDocument/2006/relationships/hyperlink" Target="http://capitol.texas.gov/tlodocs/80R/billtext/html/SB01660F.HTM" TargetMode="External" Id="rId19" /><Relationship Type="http://schemas.openxmlformats.org/officeDocument/2006/relationships/hyperlink" Target="http://capitol.texas.gov/tlodocs/80R/billtext/html/SB01660F.HTM" TargetMode="External" Id="rId20" /><Relationship Type="http://schemas.openxmlformats.org/officeDocument/2006/relationships/hyperlink" Target="http://capitol.texas.gov/tlodocs/80R/billtext/html/SB01660F.HTM" TargetMode="External" Id="rId21" /><Relationship Type="http://schemas.openxmlformats.org/officeDocument/2006/relationships/hyperlink" Target="http://capitol.texas.gov/tlodocs/80R/billtext/html/SB01660F.HTM" TargetMode="External" Id="rId22" /><Relationship Type="http://schemas.openxmlformats.org/officeDocument/2006/relationships/hyperlink" Target="http://capitol.texas.gov/tlodocs/80R/billtext/html/SB01660F.HTM" TargetMode="External" Id="rId23" /><Relationship Type="http://schemas.openxmlformats.org/officeDocument/2006/relationships/hyperlink" Target="http://capitol.texas.gov/tlodocs/80R/billtext/html/SB01660F.HTM" TargetMode="External" Id="rId24" /><Relationship Type="http://schemas.openxmlformats.org/officeDocument/2006/relationships/hyperlink" Target="http://capitol.texas.gov/tlodocs/80R/billtext/html/SB01660F.HTM" TargetMode="External" Id="rId25" /><Relationship Type="http://schemas.openxmlformats.org/officeDocument/2006/relationships/hyperlink" Target="http://capitol.texas.gov/tlodocs/82R/billtext/html/HB03814F.HTM" TargetMode="External" Id="rId26" /><Relationship Type="http://schemas.openxmlformats.org/officeDocument/2006/relationships/hyperlink" Target="http://capitol.texas.gov/tlodocs/80R/billtext/html/SB01660F.HTM" TargetMode="External" Id="rId27" /><Relationship Type="http://schemas.openxmlformats.org/officeDocument/2006/relationships/hyperlink" Target="http://capitol.texas.gov/tlodocs/80R/billtext/html/SB01660F.HTM" TargetMode="External" Id="rId28" /><Relationship Type="http://schemas.openxmlformats.org/officeDocument/2006/relationships/hyperlink" Target="http://capitol.texas.gov/tlodocs/80R/billtext/html/SB01660F.HTM" TargetMode="External" Id="rId29" /><Relationship Type="http://schemas.openxmlformats.org/officeDocument/2006/relationships/hyperlink" Target="http://capitol.texas.gov/tlodocs/80R/billtext/html/SB01660F.HTM" TargetMode="External" Id="rId30" /><Relationship Type="http://schemas.openxmlformats.org/officeDocument/2006/relationships/hyperlink" Target="http://capitol.texas.gov/tlodocs/82R/billtext/html/HB0381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