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8308. EAST MONTGOMERY COUNTY MUNICIPAL</w:t>
      </w:r>
    </w:p>
    <w:p w:rsidR="003F3435" w:rsidRDefault="0032493E">
      <w:pPr>
        <w:spacing w:line="480" w:lineRule="auto"/>
        <w:jc w:val="center"/>
      </w:pPr>
      <w:r>
        <w:t xml:space="preserve">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East Montgomery County Municipal Utility District No. 4.</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8308.002.</w:t>
      </w:r>
      <w:r xml:space="preserve">
        <w:t> </w:t>
      </w:r>
      <w:r xml:space="preserve">
        <w:t> </w:t>
      </w:r>
      <w:r>
        <w:t xml:space="preserve">NATURE OF DISTRICT.  (a)</w:t>
      </w:r>
      <w:r xml:space="preserve">
        <w:t> </w:t>
      </w:r>
      <w:r xml:space="preserve">
        <w:t> </w:t>
      </w:r>
      <w:r>
        <w:t xml:space="preserve">The district is a municipal utility district in Montgomery County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8308.004.</w:t>
      </w:r>
      <w:r xml:space="preserve">
        <w:t> </w:t>
      </w:r>
      <w:r xml:space="preserve">
        <w:t> </w:t>
      </w:r>
      <w:r>
        <w:t xml:space="preserve">DISTRICT TERRITORY.  (a)</w:t>
      </w:r>
      <w:r xml:space="preserve">
        <w:t> </w:t>
      </w:r>
      <w:r xml:space="preserve">
        <w:t> </w:t>
      </w:r>
      <w:r>
        <w:t xml:space="preserve">The district is composed of the territory described by Section 4, Chapter 882,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8308.051.</w:t>
      </w:r>
      <w:r xml:space="preserve">
        <w:t> </w:t>
      </w:r>
      <w:r xml:space="preserve">
        <w:t> </w:t>
      </w:r>
      <w:r>
        <w:t xml:space="preserve">COMPOSITION OF BOARD.</w:t>
      </w:r>
      <w:r xml:space="preserve">
        <w:t> </w:t>
      </w:r>
      <w:r xml:space="preserve">
        <w:t> </w:t>
      </w:r>
      <w:r>
        <w:t xml:space="preserve">The district is governed by a board of five directors.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8308.101.</w:t>
      </w:r>
      <w:r xml:space="preserve">
        <w:t> </w:t>
      </w:r>
      <w:r xml:space="preserve">
        <w:t> </w:t>
      </w:r>
      <w:r>
        <w:t xml:space="preserve">MUNICIPAL UTILITY DISTRICT POWERS.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8308.102.</w:t>
      </w:r>
      <w:r xml:space="preserve">
        <w:t> </w:t>
      </w:r>
      <w:r xml:space="preserve">
        <w:t> </w:t>
      </w:r>
      <w:r>
        <w:t xml:space="preserve">COMPLIANCE WITH MUNICIPAL CONSENT ORDINANCES OR RESOLUTIONS.</w:t>
      </w:r>
      <w:r xml:space="preserve">
        <w:t> </w:t>
      </w:r>
      <w:r xml:space="preserve">
        <w:t> </w:t>
      </w:r>
      <w:r>
        <w:t xml:space="preserve">Subject to the limitations of Section </w:t>
      </w:r>
      <w:r>
        <w:t xml:space="preserve">54.016</w:t>
      </w:r>
      <w:r>
        <w:t xml:space="preserve">, Water Code, the district shall comply with all applicable requirements of any ordinance or resolution adopted by a municipality in whose corporate limits or extraterritorial jurisdiction the district is located, including an ordinance or resolution adopted before September 1, 2003, that consents to the creation of the district or to the inclusion of lands in the district.</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8308.103.</w:t>
      </w:r>
      <w:r xml:space="preserve">
        <w:t> </w:t>
      </w:r>
      <w:r xml:space="preserve">
        <w:t> </w:t>
      </w:r>
      <w:r>
        <w:t xml:space="preserve">UTILITY PROPERTY EXEMPT FROM IMPACT FEES AND ASSESSMENTS.</w:t>
      </w:r>
      <w:r xml:space="preserve">
        <w:t> </w:t>
      </w:r>
      <w:r xml:space="preserve">
        <w:t> </w:t>
      </w:r>
      <w:r>
        <w:t xml:space="preserve">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8308.104.</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2">
        <w:r>
          <w:rPr>
            <w:rStyle w:val="Hyperlink"/>
          </w:rPr>
          <w:t>4175</w:t>
        </w:r>
      </w:hyperlink>
      <w:r>
        <w:t xml:space="preserve">), Sec. 17,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4R/billtext/html/HB0417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