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8394.  PINE VILLAGE PUBLIC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8394.001.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member of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Pine Village Public Utility District.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4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8394.002.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conservation and reclamation district in Harris County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5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8394.003.</w:t>
      </w:r>
      <w:r xml:space="preserve">
        <w:t> </w:t>
      </w:r>
      <w:r xml:space="preserve">
        <w:t> </w:t>
      </w:r>
      <w:r>
        <w:t xml:space="preserve">FINDINGS OF BENEFIT AND PUBLIC PURPOSE.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boundaries of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creation of 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6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8394.004.</w:t>
      </w:r>
      <w:r xml:space="preserve">
        <w:t> </w:t>
      </w:r>
      <w:r xml:space="preserve">
        <w:t> </w:t>
      </w:r>
      <w:r>
        <w:t xml:space="preserve">DISTRICT TERRITORY.  (a)</w:t>
      </w:r>
      <w:r xml:space="preserve">
        <w:t> </w:t>
      </w:r>
      <w:r xml:space="preserve">
        <w:t> </w:t>
      </w:r>
      <w:r>
        <w:t xml:space="preserve">The district is composed of the territory described by Section 4, Chapter 650, Acts of the 62nd Legislature, Regular Session, 1971,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of the district form a closure.</w:t>
      </w:r>
      <w:r xml:space="preserve">
        <w:t> </w:t>
      </w:r>
      <w:r xml:space="preserve">
        <w:t> </w:t>
      </w:r>
      <w:r>
        <w:t xml:space="preserve">A mistake in copying the field notes in the legislative process or another mistake in the field notes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district's organization, existence, or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district's right to issue any type of bond for a purpose for which the district is created or to pay the principal of and interest on the bond;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district's 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legality or operation of the district or its governing body.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7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8394.051.</w:t>
      </w:r>
      <w:r xml:space="preserve">
        <w:t> </w:t>
      </w:r>
      <w:r xml:space="preserve">
        <w:t> </w:t>
      </w:r>
      <w:r>
        <w:t xml:space="preserve">COMPOSITION OF BOARD.</w:t>
      </w:r>
      <w:r xml:space="preserve">
        <w:t> </w:t>
      </w:r>
      <w:r xml:space="preserve">
        <w:t> </w:t>
      </w:r>
      <w:r>
        <w:t xml:space="preserve">The board is composed of five elected directors.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8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8394.052.</w:t>
      </w:r>
      <w:r xml:space="preserve">
        <w:t> </w:t>
      </w:r>
      <w:r xml:space="preserve">
        <w:t> </w:t>
      </w:r>
      <w:r>
        <w:t xml:space="preserve">BOARD VACANCY.  (a)</w:t>
      </w:r>
      <w:r xml:space="preserve">
        <w:t> </w:t>
      </w:r>
      <w:r xml:space="preserve">
        <w:t> </w:t>
      </w:r>
      <w:r>
        <w:t xml:space="preserve">Except as provided by Subsection (b), a vacancy in the office of director shall be filled in the manner provided by Section </w:t>
      </w:r>
      <w:r>
        <w:t xml:space="preserve">49.105</w:t>
      </w:r>
      <w:r>
        <w:t xml:space="preserve">, Water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Texas Commission on Environmental Quality shall appoint directors to fill all of the vacancies on the board whenever the number of qualified directors is fewer than three.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9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8394.101.</w:t>
      </w:r>
      <w:r xml:space="preserve">
        <w:t> </w:t>
      </w:r>
      <w:r xml:space="preserve">
        <w:t> </w:t>
      </w:r>
      <w:r>
        <w:t xml:space="preserve">MUNICIPAL UTILITY DISTRICT POWERS.</w:t>
      </w:r>
      <w:r xml:space="preserve">
        <w:t> </w:t>
      </w:r>
      <w:r xml:space="preserve">
        <w:t> </w:t>
      </w:r>
      <w:r>
        <w:t xml:space="preserve">The district has the rights, powers, privileges, and functions conferred by general law applicable to a municipal utility district,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20">
        <w:r>
          <w:rPr>
            <w:rStyle w:val="Hyperlink"/>
          </w:rPr>
          <w:t>1026</w:t>
        </w:r>
      </w:hyperlink>
      <w:r>
        <w:t xml:space="preserve">), Sec. 1.03, eff. April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3R/billtext/html/SB01026F.HTM" TargetMode="External" Id="rId14" /><Relationship Type="http://schemas.openxmlformats.org/officeDocument/2006/relationships/hyperlink" Target="http://capitol.texas.gov/tlodocs/83R/billtext/html/SB01026F.HTM" TargetMode="External" Id="rId15" /><Relationship Type="http://schemas.openxmlformats.org/officeDocument/2006/relationships/hyperlink" Target="http://capitol.texas.gov/tlodocs/83R/billtext/html/SB01026F.HTM" TargetMode="External" Id="rId16" /><Relationship Type="http://schemas.openxmlformats.org/officeDocument/2006/relationships/hyperlink" Target="http://capitol.texas.gov/tlodocs/83R/billtext/html/SB01026F.HTM" TargetMode="External" Id="rId17" /><Relationship Type="http://schemas.openxmlformats.org/officeDocument/2006/relationships/hyperlink" Target="http://capitol.texas.gov/tlodocs/83R/billtext/html/SB01026F.HTM" TargetMode="External" Id="rId18" /><Relationship Type="http://schemas.openxmlformats.org/officeDocument/2006/relationships/hyperlink" Target="http://capitol.texas.gov/tlodocs/83R/billtext/html/SB01026F.HTM" TargetMode="External" Id="rId19" /><Relationship Type="http://schemas.openxmlformats.org/officeDocument/2006/relationships/hyperlink" Target="http://capitol.texas.gov/tlodocs/83R/billtext/html/SB01026F.HTM" TargetMode="External" Id="rI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