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8434.  COTTON CENTER MUNICIPAL UTILITY DISTRICT NO. 2 OF CALDWELL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Cotton Center Municipal Utility District No. 2 of Caldwell County.</w:t>
      </w:r>
    </w:p>
    <w:p w:rsidR="003F3435" w:rsidRDefault="0032493E">
      <w:pPr>
        <w:spacing w:line="480" w:lineRule="auto"/>
        <w:jc w:val="both"/>
      </w:pPr>
      <w:r>
        <w:t xml:space="preserve">Added by Acts 2013, 83rd Leg., R.S., Ch. 623 (S.B. </w:t>
      </w:r>
      <w:hyperlink w:docLocation="table" r:id="rId14">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623 (S.B. </w:t>
      </w:r>
      <w:hyperlink w:docLocation="table" r:id="rId15">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623 (S.B. </w:t>
      </w:r>
      <w:hyperlink w:docLocation="table" r:id="rId16">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8434.003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623 (S.B. </w:t>
      </w:r>
      <w:hyperlink w:docLocation="table" r:id="rId17">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623 (S.B. </w:t>
      </w:r>
      <w:hyperlink w:docLocation="table" r:id="rId18">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623 (S.B. </w:t>
      </w:r>
      <w:hyperlink w:docLocation="table" r:id="rId19">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8434.007.</w:t>
      </w:r>
      <w:r xml:space="preserve">
        <w:t> </w:t>
      </w:r>
      <w:r xml:space="preserve">
        <w:t> </w:t>
      </w:r>
      <w:r>
        <w:t xml:space="preserve">ELIGIBILITY FOR INCLUSION IN TAX INCREMENT REINVESTMENT ZONE.  (a)</w:t>
      </w:r>
      <w:r xml:space="preserve">
        <w:t> </w:t>
      </w:r>
      <w:r xml:space="preserve">
        <w:t> </w:t>
      </w:r>
      <w:r>
        <w:t xml:space="preserve">The district is eligible to be included in a tax increment reinvestment zone created under Chapter </w:t>
      </w:r>
      <w:r>
        <w:t xml:space="preserve">311</w:t>
      </w:r>
      <w:r>
        <w:t xml:space="preserve">, Tax Code.</w:t>
      </w:r>
    </w:p>
    <w:p w:rsidR="003F3435" w:rsidRDefault="0032493E">
      <w:pPr>
        <w:spacing w:line="480" w:lineRule="auto"/>
        <w:ind w:firstLine="720"/>
        <w:jc w:val="both"/>
      </w:pPr>
      <w:r>
        <w:t xml:space="preserve">(b)</w:t>
      </w:r>
      <w:r xml:space="preserve">
        <w:t> </w:t>
      </w:r>
      <w:r xml:space="preserve">
        <w:t> </w:t>
      </w:r>
      <w:r>
        <w:t xml:space="preserve">If the City of Martindale creates a tax increment reinvestment zone described by Subsection (a) that includes all or part of the territory of the district, the City of Martindale and the board of directors of the zone, by contract with the district, may grant money to the district from the tax increment fund to be used for a permissible purpose of the district, including the right to pledge the money as security for a bond or other obligation issued by the district and for any permissible purpose of a corporation under Section </w:t>
      </w:r>
      <w:r>
        <w:t xml:space="preserve">380.002</w:t>
      </w:r>
      <w:r>
        <w:t xml:space="preserve">(b), Local Government Code.</w:t>
      </w:r>
    </w:p>
    <w:p w:rsidR="003F3435" w:rsidRDefault="0032493E">
      <w:pPr>
        <w:spacing w:line="480" w:lineRule="auto"/>
        <w:jc w:val="both"/>
      </w:pPr>
      <w:r>
        <w:t xml:space="preserve">Added by Acts 2013, 83rd Leg., R.S., Ch. 623 (S.B. </w:t>
      </w:r>
      <w:hyperlink w:docLocation="table" r:id="rId20">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8434.052</w:t>
      </w:r>
      <w:r>
        <w:t xml:space="preserve">, directors serve staggered four-year terms.</w:t>
      </w:r>
    </w:p>
    <w:p w:rsidR="003F3435" w:rsidRDefault="0032493E">
      <w:pPr>
        <w:spacing w:line="480" w:lineRule="auto"/>
        <w:jc w:val="both"/>
      </w:pPr>
      <w:r>
        <w:t xml:space="preserve">Added by Acts 2013, 83rd Leg., R.S., Ch. 623 (S.B. </w:t>
      </w:r>
      <w:hyperlink w:docLocation="table" r:id="rId21">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Brandon D. Rabe;</w:t>
      </w:r>
    </w:p>
    <w:p w:rsidR="003F3435" w:rsidRDefault="0032493E">
      <w:pPr>
        <w:spacing w:line="480" w:lineRule="auto"/>
        <w:ind w:firstLine="1440"/>
        <w:jc w:val="both"/>
      </w:pPr>
      <w:r>
        <w:t xml:space="preserve">(2)</w:t>
      </w:r>
      <w:r xml:space="preserve">
        <w:t> </w:t>
      </w:r>
      <w:r xml:space="preserve">
        <w:t> </w:t>
      </w:r>
      <w:r>
        <w:t xml:space="preserve">Garrod E. Huebner;</w:t>
      </w:r>
    </w:p>
    <w:p w:rsidR="003F3435" w:rsidRDefault="0032493E">
      <w:pPr>
        <w:spacing w:line="480" w:lineRule="auto"/>
        <w:ind w:firstLine="1440"/>
        <w:jc w:val="both"/>
      </w:pPr>
      <w:r>
        <w:t xml:space="preserve">(3)</w:t>
      </w:r>
      <w:r xml:space="preserve">
        <w:t> </w:t>
      </w:r>
      <w:r xml:space="preserve">
        <w:t> </w:t>
      </w:r>
      <w:r>
        <w:t xml:space="preserve">Brendan K. Puthoff;</w:t>
      </w:r>
    </w:p>
    <w:p w:rsidR="003F3435" w:rsidRDefault="0032493E">
      <w:pPr>
        <w:spacing w:line="480" w:lineRule="auto"/>
        <w:ind w:firstLine="1440"/>
        <w:jc w:val="both"/>
      </w:pPr>
      <w:r>
        <w:t xml:space="preserve">(4)</w:t>
      </w:r>
      <w:r xml:space="preserve">
        <w:t> </w:t>
      </w:r>
      <w:r xml:space="preserve">
        <w:t> </w:t>
      </w:r>
      <w:r>
        <w:t xml:space="preserve">Jeremy P. Poloskey; and</w:t>
      </w:r>
    </w:p>
    <w:p w:rsidR="003F3435" w:rsidRDefault="0032493E">
      <w:pPr>
        <w:spacing w:line="480" w:lineRule="auto"/>
        <w:ind w:firstLine="1440"/>
        <w:jc w:val="both"/>
      </w:pPr>
      <w:r>
        <w:t xml:space="preserve">(5)</w:t>
      </w:r>
      <w:r xml:space="preserve">
        <w:t> </w:t>
      </w:r>
      <w:r xml:space="preserve">
        <w:t> </w:t>
      </w:r>
      <w:r>
        <w:t xml:space="preserve">Brian J. Kaucher.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8434.003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623 (S.B. </w:t>
      </w:r>
      <w:hyperlink w:docLocation="table" r:id="rId22">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623 (S.B. </w:t>
      </w:r>
      <w:hyperlink w:docLocation="table" r:id="rId23">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623 (S.B. </w:t>
      </w:r>
      <w:hyperlink w:docLocation="table" r:id="rId24">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623 (S.B. </w:t>
      </w:r>
      <w:hyperlink w:docLocation="table" r:id="rId25">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623 (S.B. </w:t>
      </w:r>
      <w:hyperlink w:docLocation="table" r:id="rId26">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8434.105.</w:t>
      </w:r>
      <w:r xml:space="preserve">
        <w:t> </w:t>
      </w:r>
      <w:r xml:space="preserve">
        <w:t> </w:t>
      </w:r>
      <w:r>
        <w:t xml:space="preserve">COSTS OF ROAD PROJECT.</w:t>
      </w:r>
      <w:r xml:space="preserve">
        <w:t> </w:t>
      </w:r>
      <w:r xml:space="preserve">
        <w:t> </w:t>
      </w:r>
      <w:r>
        <w:t xml:space="preserve">The district may bear the cost of designing, maintaining, improving, and operating a road in the district authorized under Section </w:t>
      </w:r>
      <w:r>
        <w:t xml:space="preserve">8434.103</w:t>
      </w:r>
      <w:r>
        <w:t xml:space="preserve"> in accordance with all applicable ordinances and rules of the political subdivision authorized to exercise jurisdiction over the road, regardless of whether the district conveys the road to this state, a county, or a municipality.</w:t>
      </w:r>
    </w:p>
    <w:p w:rsidR="003F3435" w:rsidRDefault="0032493E">
      <w:pPr>
        <w:spacing w:line="480" w:lineRule="auto"/>
        <w:jc w:val="both"/>
      </w:pPr>
      <w:r>
        <w:t xml:space="preserve">Added by Acts 2013, 83rd Leg., R.S., Ch. 623 (S.B. </w:t>
      </w:r>
      <w:hyperlink w:docLocation="table" r:id="rId27">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8434.106.</w:t>
      </w:r>
      <w:r xml:space="preserve">
        <w:t> </w:t>
      </w:r>
      <w:r xml:space="preserve">
        <w:t> </w:t>
      </w:r>
      <w:r>
        <w:t xml:space="preserve">COMPLIANCE WITH MUNICIPAL CONSENT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In addition to all the rights and remedies provided by other law, if the district violates the terms of an ordinance or resolution described by Subsection (a), the municipality is entitled to injunctive relief or a writ of mandamus issued by a court requiring the district and the district's officials to observe and comply with the terms of the ordinance or resolution.</w:t>
      </w:r>
    </w:p>
    <w:p w:rsidR="003F3435" w:rsidRDefault="0032493E">
      <w:pPr>
        <w:spacing w:line="480" w:lineRule="auto"/>
        <w:jc w:val="both"/>
      </w:pPr>
      <w:r>
        <w:t xml:space="preserve">Added by Acts 2013, 83rd Leg., R.S., Ch. 623 (S.B. </w:t>
      </w:r>
      <w:hyperlink w:docLocation="table" r:id="rId28">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8434.107.</w:t>
      </w:r>
      <w:r xml:space="preserve">
        <w:t> </w:t>
      </w:r>
      <w:r xml:space="preserve">
        <w:t> </w:t>
      </w:r>
      <w:r>
        <w:t xml:space="preserve">MUNICIPAL CONSENT.</w:t>
      </w:r>
      <w:r xml:space="preserve">
        <w:t> </w:t>
      </w:r>
      <w:r xml:space="preserve">
        <w:t> </w:t>
      </w:r>
      <w:r>
        <w:t xml:space="preserve">Municipal consent to the creation of the district and to the inclusion of land in the district granted under Section </w:t>
      </w:r>
      <w:r>
        <w:t xml:space="preserve">8434.004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2013, 83rd Leg., R.S., Ch. 623 (S.B. </w:t>
      </w:r>
      <w:hyperlink w:docLocation="table" r:id="rId29">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8434.108.</w:t>
      </w:r>
      <w:r xml:space="preserve">
        <w:t> </w:t>
      </w:r>
      <w:r xml:space="preserve">
        <w:t> </w:t>
      </w:r>
      <w:r>
        <w:t xml:space="preserve">EFFECT OF ANNEXATION BY CITY OF MARTINDALE.</w:t>
      </w:r>
      <w:r xml:space="preserve">
        <w:t> </w:t>
      </w:r>
      <w:r xml:space="preserve">
        <w:t> </w:t>
      </w:r>
      <w:r>
        <w:t xml:space="preserve">Notwithstanding Section </w:t>
      </w:r>
      <w:r>
        <w:t xml:space="preserve">54.016</w:t>
      </w:r>
      <w:r>
        <w:t xml:space="preserve">(f)(2), Water Code, an allocation agreement between the City of Martindale and the district that provides for the allocation of the taxes or revenues of the district and the city following the date of inclusion of all the district's territory in the corporate limits of the city may provide that the total annual ad valorem taxes collected by the city and the district from taxable property in the district may exceed the city's ad valorem tax on that property.</w:t>
      </w:r>
    </w:p>
    <w:p w:rsidR="003F3435" w:rsidRDefault="0032493E">
      <w:pPr>
        <w:spacing w:line="480" w:lineRule="auto"/>
        <w:jc w:val="both"/>
      </w:pPr>
      <w:r>
        <w:t xml:space="preserve">Added by Acts 2013, 83rd Leg., R.S., Ch. 623 (S.B. </w:t>
      </w:r>
      <w:hyperlink w:docLocation="table" r:id="rId30">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2013, 83rd Leg., R.S., Ch. 623 (S.B. </w:t>
      </w:r>
      <w:hyperlink w:docLocation="table" r:id="rId31">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2013, 83rd Leg., R.S., Ch. 623 (S.B. </w:t>
      </w:r>
      <w:hyperlink w:docLocation="table" r:id="rId32">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jc w:val="both"/>
      </w:pPr>
      <w:r>
        <w:t xml:space="preserve">Added by Acts 2013, 83rd Leg., R.S., Ch. 623 (S.B. </w:t>
      </w:r>
      <w:hyperlink w:docLocation="table" r:id="rId33">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8434.154.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8434.003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2013, 83rd Leg., R.S., Ch. 623 (S.B. </w:t>
      </w:r>
      <w:hyperlink w:docLocation="table" r:id="rId34">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8434.155.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8434.003</w:t>
      </w:r>
      <w:r>
        <w:t xml:space="preserve">.</w:t>
      </w:r>
    </w:p>
    <w:p w:rsidR="003F3435" w:rsidRDefault="0032493E">
      <w:pPr>
        <w:spacing w:line="480" w:lineRule="auto"/>
        <w:ind w:firstLine="720"/>
        <w:jc w:val="both"/>
      </w:pPr>
      <w:r>
        <w:t xml:space="preserve">(b)</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2013, 83rd Leg., R.S., Ch. 623 (S.B. </w:t>
      </w:r>
      <w:hyperlink w:docLocation="table" r:id="rId35">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8434.156.</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2013, 83rd Leg., R.S., Ch. 623 (S.B. </w:t>
      </w:r>
      <w:hyperlink w:docLocation="table" r:id="rId36">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8434.203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623 (S.B. </w:t>
      </w:r>
      <w:hyperlink w:docLocation="table" r:id="rId37">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8434.202.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8434.201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623 (S.B. </w:t>
      </w:r>
      <w:hyperlink w:docLocation="table" r:id="rId38">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623 (S.B. </w:t>
      </w:r>
      <w:hyperlink w:docLocation="table" r:id="rId39">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623 (S.B. </w:t>
      </w:r>
      <w:hyperlink w:docLocation="table" r:id="rId40">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8434.252.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623 (S.B. </w:t>
      </w:r>
      <w:hyperlink w:docLocation="table" r:id="rId41">
        <w:r>
          <w:rPr>
            <w:rStyle w:val="Hyperlink"/>
          </w:rPr>
          <w:t>1838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623 (S.B. </w:t>
      </w:r>
      <w:hyperlink w:docLocation="table" r:id="rId42">
        <w:r>
          <w:rPr>
            <w:rStyle w:val="Hyperlink"/>
          </w:rPr>
          <w:t>1838</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38F.HTM" TargetMode="External" Id="rId14" /><Relationship Type="http://schemas.openxmlformats.org/officeDocument/2006/relationships/hyperlink" Target="http://capitol.texas.gov/tlodocs/83R/billtext/html/SB01838F.HTM" TargetMode="External" Id="rId15" /><Relationship Type="http://schemas.openxmlformats.org/officeDocument/2006/relationships/hyperlink" Target="http://capitol.texas.gov/tlodocs/83R/billtext/html/SB01838F.HTM" TargetMode="External" Id="rId16" /><Relationship Type="http://schemas.openxmlformats.org/officeDocument/2006/relationships/hyperlink" Target="http://capitol.texas.gov/tlodocs/83R/billtext/html/SB01838F.HTM" TargetMode="External" Id="rId17" /><Relationship Type="http://schemas.openxmlformats.org/officeDocument/2006/relationships/hyperlink" Target="http://capitol.texas.gov/tlodocs/83R/billtext/html/SB01838F.HTM" TargetMode="External" Id="rId18" /><Relationship Type="http://schemas.openxmlformats.org/officeDocument/2006/relationships/hyperlink" Target="http://capitol.texas.gov/tlodocs/83R/billtext/html/SB01838F.HTM" TargetMode="External" Id="rId19" /><Relationship Type="http://schemas.openxmlformats.org/officeDocument/2006/relationships/hyperlink" Target="http://capitol.texas.gov/tlodocs/83R/billtext/html/SB01838F.HTM" TargetMode="External" Id="rId20" /><Relationship Type="http://schemas.openxmlformats.org/officeDocument/2006/relationships/hyperlink" Target="http://capitol.texas.gov/tlodocs/83R/billtext/html/SB01838F.HTM" TargetMode="External" Id="rId21" /><Relationship Type="http://schemas.openxmlformats.org/officeDocument/2006/relationships/hyperlink" Target="http://capitol.texas.gov/tlodocs/83R/billtext/html/SB01838F.HTM" TargetMode="External" Id="rId22" /><Relationship Type="http://schemas.openxmlformats.org/officeDocument/2006/relationships/hyperlink" Target="http://capitol.texas.gov/tlodocs/83R/billtext/html/SB01838F.HTM" TargetMode="External" Id="rId23" /><Relationship Type="http://schemas.openxmlformats.org/officeDocument/2006/relationships/hyperlink" Target="http://capitol.texas.gov/tlodocs/83R/billtext/html/SB01838F.HTM" TargetMode="External" Id="rId24" /><Relationship Type="http://schemas.openxmlformats.org/officeDocument/2006/relationships/hyperlink" Target="http://capitol.texas.gov/tlodocs/83R/billtext/html/SB01838F.HTM" TargetMode="External" Id="rId25" /><Relationship Type="http://schemas.openxmlformats.org/officeDocument/2006/relationships/hyperlink" Target="http://capitol.texas.gov/tlodocs/83R/billtext/html/SB01838F.HTM" TargetMode="External" Id="rId26" /><Relationship Type="http://schemas.openxmlformats.org/officeDocument/2006/relationships/hyperlink" Target="http://capitol.texas.gov/tlodocs/83R/billtext/html/SB01838F.HTM" TargetMode="External" Id="rId27" /><Relationship Type="http://schemas.openxmlformats.org/officeDocument/2006/relationships/hyperlink" Target="http://capitol.texas.gov/tlodocs/83R/billtext/html/SB01838F.HTM" TargetMode="External" Id="rId28" /><Relationship Type="http://schemas.openxmlformats.org/officeDocument/2006/relationships/hyperlink" Target="http://capitol.texas.gov/tlodocs/83R/billtext/html/SB01838F.HTM" TargetMode="External" Id="rId29" /><Relationship Type="http://schemas.openxmlformats.org/officeDocument/2006/relationships/hyperlink" Target="http://capitol.texas.gov/tlodocs/83R/billtext/html/SB01838F.HTM" TargetMode="External" Id="rId30" /><Relationship Type="http://schemas.openxmlformats.org/officeDocument/2006/relationships/hyperlink" Target="http://capitol.texas.gov/tlodocs/83R/billtext/html/SB01838F.HTM" TargetMode="External" Id="rId31" /><Relationship Type="http://schemas.openxmlformats.org/officeDocument/2006/relationships/hyperlink" Target="http://capitol.texas.gov/tlodocs/83R/billtext/html/SB01838F.HTM" TargetMode="External" Id="rId32" /><Relationship Type="http://schemas.openxmlformats.org/officeDocument/2006/relationships/hyperlink" Target="http://capitol.texas.gov/tlodocs/83R/billtext/html/SB01838F.HTM" TargetMode="External" Id="rId33" /><Relationship Type="http://schemas.openxmlformats.org/officeDocument/2006/relationships/hyperlink" Target="http://capitol.texas.gov/tlodocs/83R/billtext/html/SB01838F.HTM" TargetMode="External" Id="rId34" /><Relationship Type="http://schemas.openxmlformats.org/officeDocument/2006/relationships/hyperlink" Target="http://capitol.texas.gov/tlodocs/83R/billtext/html/SB01838F.HTM" TargetMode="External" Id="rId35" /><Relationship Type="http://schemas.openxmlformats.org/officeDocument/2006/relationships/hyperlink" Target="http://capitol.texas.gov/tlodocs/83R/billtext/html/SB01838F.HTM" TargetMode="External" Id="rId36" /><Relationship Type="http://schemas.openxmlformats.org/officeDocument/2006/relationships/hyperlink" Target="http://capitol.texas.gov/tlodocs/83R/billtext/html/SB01838F.HTM" TargetMode="External" Id="rId37" /><Relationship Type="http://schemas.openxmlformats.org/officeDocument/2006/relationships/hyperlink" Target="http://capitol.texas.gov/tlodocs/83R/billtext/html/SB01838F.HTM" TargetMode="External" Id="rId38" /><Relationship Type="http://schemas.openxmlformats.org/officeDocument/2006/relationships/hyperlink" Target="http://capitol.texas.gov/tlodocs/83R/billtext/html/SB01838F.HTM" TargetMode="External" Id="rId39" /><Relationship Type="http://schemas.openxmlformats.org/officeDocument/2006/relationships/hyperlink" Target="http://capitol.texas.gov/tlodocs/83R/billtext/html/SB01838F.HTM" TargetMode="External" Id="rId40" /><Relationship Type="http://schemas.openxmlformats.org/officeDocument/2006/relationships/hyperlink" Target="http://capitol.texas.gov/tlodocs/83R/billtext/html/SB01838F.HTM" TargetMode="External" Id="rId41" /><Relationship Type="http://schemas.openxmlformats.org/officeDocument/2006/relationships/hyperlink" Target="http://capitol.texas.gov/tlodocs/83R/billtext/html/SB01838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