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4. NAVIGATION</w:t>
      </w:r>
    </w:p>
    <w:p w:rsidR="003F3435" w:rsidRDefault="0032493E">
      <w:pPr>
        <w:spacing w:line="480" w:lineRule="auto"/>
        <w:jc w:val="center"/>
      </w:pPr>
      <w:r>
        <w:t xml:space="preserve">SUBTITLE A. WATERWAYS AND PORTS</w:t>
      </w:r>
    </w:p>
    <w:p w:rsidR="003F3435" w:rsidRDefault="0032493E">
      <w:pPr>
        <w:spacing w:line="480" w:lineRule="auto"/>
        <w:jc w:val="center"/>
      </w:pPr>
      <w:r>
        <w:t xml:space="preserve">CHAPTER 60.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60.001.</w:t>
      </w:r>
      <w:r xml:space="preserve">
        <w:t> </w:t>
      </w:r>
      <w:r xml:space="preserve">
        <w:t> </w:t>
      </w:r>
      <w:r>
        <w:t xml:space="preserve">THROWING BALLAST.  (a)  A master or officer in charge of a vessel commits an offense if any part of the ballast of the vessel is thrown from the vessel into the sea within six miles of a bar or harbor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 a fine of not less than $100 or more than $200.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1420, Sec. 19.001(a),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