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208"/>
        <w:gridCol w:w="2736"/>
      </w:tblGrid>
      <w:tr>
        <w:tc>
          <w:tcPr>
            <w:tcW w:type="dxa" w:w="5112"/>
            <w:tcMar>
              <w:top w:w="70" w:type="dxa"/>
              <w:start w:w="110" w:type="dxa"/>
              <w:bottom w:w="70" w:type="dxa"/>
              <w:end w:w="110" w:type="dxa"/>
            </w:tcMar>
            <w:shd w:fill="173A5E"/>
          </w:tcPr>
          <w:p>
            <w:r>
              <w:rPr>
                <w:b/>
                <w:color w:val="FFFFFF"/>
                <w:sz w:val="20"/>
              </w:rPr>
              <w:t>REPLIT EXECUTION CONTROL</w:t>
            </w:r>
          </w:p>
        </w:tc>
        <w:tc>
          <w:tcPr>
            <w:tcW w:type="dxa" w:w="5112"/>
            <w:tcMar>
              <w:top w:w="70" w:type="dxa"/>
              <w:start w:w="110" w:type="dxa"/>
              <w:bottom w:w="70" w:type="dxa"/>
              <w:end w:w="110" w:type="dxa"/>
            </w:tcMar>
            <w:shd w:fill="2F75B5"/>
          </w:tcPr>
          <w:p>
            <w:pPr>
              <w:jc w:val="right"/>
            </w:pPr>
            <w:r>
              <w:rPr>
                <w:b/>
                <w:color w:val="FFFFFF"/>
                <w:sz w:val="20"/>
              </w:rPr>
              <w:t>POST MERGE AUDIT</w:t>
            </w:r>
          </w:p>
        </w:tc>
      </w:tr>
    </w:tbl>
    <w:p>
      <w:pPr>
        <w:pStyle w:val="Title"/>
        <w:widowControl/>
        <w:spacing w:before="160" w:after="80"/>
      </w:pPr>
      <w:r>
        <w:rPr>
          <w:color w:val="173A5E"/>
          <w:sz w:val="56"/>
        </w:rPr>
        <w:t>Task 1999 Post Merge Repository Audit</w:t>
      </w:r>
    </w:p>
    <w:p>
      <w:pPr>
        <w:widowControl/>
        <w:spacing w:after="200"/>
      </w:pPr>
      <w:r>
        <w:rPr>
          <w:i/>
          <w:color w:val="5A6473"/>
          <w:sz w:val="26"/>
        </w:rPr>
        <w:t>Unified Discovery and Candidate Evidence</w:t>
      </w:r>
    </w:p>
    <w:p>
      <w:pPr>
        <w:widowControl/>
        <w:spacing w:after="100" w:line="259" w:lineRule="auto"/>
      </w:pPr>
      <w:r>
        <w:rPr>
          <w:b/>
        </w:rPr>
        <w:t>Repository state audited:</w:t>
      </w:r>
      <w:r>
        <w:t xml:space="preserve"> origin/main at 6c47fe9b12b66560ae901a3cf4059c3ac1470fd5 on 24 September 2026.</w:t>
      </w:r>
    </w:p>
    <w:p>
      <w:pPr>
        <w:widowControl/>
        <w:spacing w:after="100" w:line="259" w:lineRule="auto"/>
      </w:pPr>
      <w:r>
        <w:rPr>
          <w:b/>
        </w:rPr>
        <w:t>Decision:</w:t>
      </w:r>
      <w:r>
        <w:t xml:space="preserve"> DO NOT PUBLISH. The merge contains useful implementation, but it does not close Task 1999 end to end and introduces spend, idempotency, schema-push, and operator-workflow blockers.</w:t>
      </w:r>
    </w:p>
    <w:p>
      <w:pPr>
        <w:pStyle w:val="Heading1"/>
        <w:keepNext/>
        <w:widowControl/>
      </w:pPr>
      <w:r>
        <w:t>1 Audit Scope and Method</w:t>
      </w:r>
    </w:p>
    <w:p>
      <w:pPr>
        <w:widowControl/>
        <w:spacing w:after="100" w:line="259" w:lineRule="auto"/>
      </w:pPr>
      <w:r>
        <w:t>This was a read-only audit of the merged repository diff from 8958f02472d122d241d70e7c1609eed9346eb833 to 6c47fe9b12b66560ae901a3cf4059c3ac1470fd5. The review traced database schema and migration parity, pre-cohort classification, provider reservations, evidence persistence, the frozen-cohort waterfall, routes, Lead Ops UI, downstream validation handoff, and test registration.</w:t>
      </w:r>
    </w:p>
    <w:p>
      <w:pPr>
        <w:pStyle w:val="ListBullet"/>
        <w:widowControl/>
        <w:spacing w:after="40" w:line="252" w:lineRule="auto"/>
      </w:pPr>
      <w:r>
        <w:t>34 changed files; 4,033 insertions and 149 deletions.</w:t>
      </w:r>
    </w:p>
    <w:p>
      <w:pPr>
        <w:pStyle w:val="ListBullet"/>
        <w:widowControl/>
        <w:spacing w:after="40" w:line="252" w:lineRule="auto"/>
      </w:pPr>
      <w:r>
        <w:t>Migration 0287 is journaled at index 291.</w:t>
      </w:r>
    </w:p>
    <w:p>
      <w:pPr>
        <w:pStyle w:val="ListBullet"/>
        <w:widowControl/>
        <w:spacing w:after="40" w:line="252" w:lineRule="auto"/>
      </w:pPr>
      <w:r>
        <w:t>The dependency-free SFP structural regression suite passed 21 of 21 assertions.</w:t>
      </w:r>
    </w:p>
    <w:p>
      <w:pPr>
        <w:pStyle w:val="ListBullet"/>
        <w:widowControl/>
        <w:spacing w:after="40" w:line="252" w:lineRule="auto"/>
      </w:pPr>
      <w:r>
        <w:t>The merged TypeScript suites could not be executed in this isolated audit worktree because repository dependencies were not installed. This is not treated as a test failure; static and control-flow findings below are directly evidenced by the merged source.</w:t>
      </w:r>
    </w:p>
    <w:p>
      <w:pPr>
        <w:pStyle w:val="ListBullet"/>
        <w:widowControl/>
        <w:spacing w:after="40" w:line="252" w:lineRule="auto"/>
      </w:pPr>
      <w:r>
        <w:t>No provider, production database, queue, secret, deployment, campaign, or outbound system was called or changed.</w:t>
      </w:r>
    </w:p>
    <w:p>
      <w:pPr>
        <w:pStyle w:val="Heading1"/>
        <w:keepNext/>
        <w:widowControl/>
      </w:pPr>
      <w:r>
        <w:t>2 Executive Result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2088"/>
            <w:shd w:fill="173A5E"/>
            <w:vAlign w:val="center"/>
            <w:tcMar>
              <w:top w:w="90" w:type="dxa"/>
              <w:start w:w="100" w:type="dxa"/>
              <w:bottom w:w="90" w:type="dxa"/>
              <w:end w:w="100" w:type="dxa"/>
            </w:tcMar>
          </w:tcPr>
          <w:p>
            <w:pPr>
              <w:jc w:val="center"/>
            </w:pPr>
            <w:r>
              <w:rPr>
                <w:b/>
                <w:color w:val="FFFFFF"/>
                <w:sz w:val="16"/>
              </w:rPr>
              <w:t>Area</w:t>
            </w:r>
          </w:p>
        </w:tc>
        <w:tc>
          <w:tcPr>
            <w:tcW w:type="dxa" w:w="1080"/>
            <w:shd w:fill="173A5E"/>
            <w:vAlign w:val="center"/>
            <w:tcMar>
              <w:top w:w="90" w:type="dxa"/>
              <w:start w:w="100" w:type="dxa"/>
              <w:bottom w:w="90" w:type="dxa"/>
              <w:end w:w="100" w:type="dxa"/>
            </w:tcMar>
          </w:tcPr>
          <w:p>
            <w:pPr>
              <w:jc w:val="center"/>
            </w:pPr>
            <w:r>
              <w:rPr>
                <w:b/>
                <w:color w:val="FFFFFF"/>
                <w:sz w:val="16"/>
              </w:rPr>
              <w:t>Result</w:t>
            </w:r>
          </w:p>
        </w:tc>
        <w:tc>
          <w:tcPr>
            <w:tcW w:type="dxa" w:w="7704"/>
            <w:shd w:fill="173A5E"/>
            <w:vAlign w:val="center"/>
            <w:tcMar>
              <w:top w:w="90" w:type="dxa"/>
              <w:start w:w="100" w:type="dxa"/>
              <w:bottom w:w="90" w:type="dxa"/>
              <w:end w:w="100" w:type="dxa"/>
            </w:tcMar>
          </w:tcPr>
          <w:p>
            <w:pPr>
              <w:jc w:val="center"/>
            </w:pPr>
            <w:r>
              <w:rPr>
                <w:b/>
                <w:color w:val="FFFFFF"/>
                <w:sz w:val="16"/>
              </w:rPr>
              <w:t>Repository evidence</w:t>
            </w:r>
          </w:p>
        </w:tc>
      </w:tr>
      <w:tr>
        <w:tc>
          <w:tcPr>
            <w:tcW w:type="dxa" w:w="2088"/>
            <w:tcMar>
              <w:top w:w="90" w:type="dxa"/>
              <w:start w:w="100" w:type="dxa"/>
              <w:bottom w:w="90" w:type="dxa"/>
              <w:end w:w="100" w:type="dxa"/>
            </w:tcMar>
            <w:vAlign w:val="center"/>
          </w:tcPr>
          <w:p>
            <w:pPr>
              <w:spacing w:after="0" w:line="240" w:lineRule="auto"/>
            </w:pPr>
            <w:r>
              <w:rPr>
                <w:sz w:val="16"/>
              </w:rPr>
              <w:t>Merge integrity</w:t>
            </w:r>
          </w:p>
        </w:tc>
        <w:tc>
          <w:tcPr>
            <w:tcW w:type="dxa" w:w="1080"/>
            <w:tcMar>
              <w:top w:w="90" w:type="dxa"/>
              <w:start w:w="100" w:type="dxa"/>
              <w:bottom w:w="90" w:type="dxa"/>
              <w:end w:w="100" w:type="dxa"/>
            </w:tcMar>
            <w:vAlign w:val="center"/>
          </w:tcPr>
          <w:p>
            <w:pPr>
              <w:spacing w:after="0" w:line="240" w:lineRule="auto"/>
            </w:pPr>
            <w:r>
              <w:rPr>
                <w:sz w:val="16"/>
              </w:rPr>
              <w:t>PASS</w:t>
            </w:r>
          </w:p>
        </w:tc>
        <w:tc>
          <w:tcPr>
            <w:tcW w:type="dxa" w:w="7704"/>
            <w:tcMar>
              <w:top w:w="90" w:type="dxa"/>
              <w:start w:w="100" w:type="dxa"/>
              <w:bottom w:w="90" w:type="dxa"/>
              <w:end w:w="100" w:type="dxa"/>
            </w:tcMar>
            <w:vAlign w:val="center"/>
          </w:tcPr>
          <w:p>
            <w:pPr>
              <w:spacing w:after="0" w:line="240" w:lineRule="auto"/>
            </w:pPr>
            <w:r>
              <w:rPr>
                <w:sz w:val="16"/>
              </w:rPr>
              <w:t>origin/main resolves to 6c47fe9b; migration 0287 is journaled.</w:t>
            </w:r>
          </w:p>
        </w:tc>
      </w:tr>
      <w:tr>
        <w:tc>
          <w:tcPr>
            <w:tcW w:type="dxa" w:w="2088"/>
            <w:shd w:fill="F3F6F9"/>
            <w:tcMar>
              <w:top w:w="90" w:type="dxa"/>
              <w:start w:w="100" w:type="dxa"/>
              <w:bottom w:w="90" w:type="dxa"/>
              <w:end w:w="100" w:type="dxa"/>
            </w:tcMar>
            <w:vAlign w:val="center"/>
          </w:tcPr>
          <w:p>
            <w:pPr>
              <w:spacing w:after="0" w:line="240" w:lineRule="auto"/>
            </w:pPr>
            <w:r>
              <w:rPr>
                <w:sz w:val="16"/>
              </w:rPr>
              <w:t>Free lane schedule truth</w:t>
            </w:r>
          </w:p>
        </w:tc>
        <w:tc>
          <w:tcPr>
            <w:tcW w:type="dxa" w:w="1080"/>
            <w:shd w:fill="F3F6F9"/>
            <w:tcMar>
              <w:top w:w="90" w:type="dxa"/>
              <w:start w:w="100" w:type="dxa"/>
              <w:bottom w:w="90" w:type="dxa"/>
              <w:end w:w="100" w:type="dxa"/>
            </w:tcMar>
            <w:vAlign w:val="center"/>
          </w:tcPr>
          <w:p>
            <w:pPr>
              <w:spacing w:after="0" w:line="240" w:lineRule="auto"/>
            </w:pPr>
            <w:r>
              <w:rPr>
                <w:sz w:val="16"/>
              </w:rPr>
              <w:t>PASS</w:t>
            </w:r>
          </w:p>
        </w:tc>
        <w:tc>
          <w:tcPr>
            <w:tcW w:type="dxa" w:w="7704"/>
            <w:shd w:fill="F3F6F9"/>
            <w:tcMar>
              <w:top w:w="90" w:type="dxa"/>
              <w:start w:w="100" w:type="dxa"/>
              <w:bottom w:w="90" w:type="dxa"/>
              <w:end w:w="100" w:type="dxa"/>
            </w:tcMar>
            <w:vAlign w:val="center"/>
          </w:tcPr>
          <w:p>
            <w:pPr>
              <w:spacing w:after="0" w:line="240" w:lineRule="auto"/>
            </w:pPr>
            <w:r>
              <w:rPr>
                <w:sz w:val="16"/>
              </w:rPr>
              <w:t>Status now reads BullMQ repeat metadata and reports queue and worker state separately.</w:t>
            </w:r>
          </w:p>
        </w:tc>
      </w:tr>
      <w:tr>
        <w:tc>
          <w:tcPr>
            <w:tcW w:type="dxa" w:w="2088"/>
            <w:tcMar>
              <w:top w:w="90" w:type="dxa"/>
              <w:start w:w="100" w:type="dxa"/>
              <w:bottom w:w="90" w:type="dxa"/>
              <w:end w:w="100" w:type="dxa"/>
            </w:tcMar>
            <w:vAlign w:val="center"/>
          </w:tcPr>
          <w:p>
            <w:pPr>
              <w:spacing w:after="0" w:line="240" w:lineRule="auto"/>
            </w:pPr>
            <w:r>
              <w:rPr>
                <w:sz w:val="16"/>
              </w:rPr>
              <w:t>Provider adapter extraction</w:t>
            </w:r>
          </w:p>
        </w:tc>
        <w:tc>
          <w:tcPr>
            <w:tcW w:type="dxa" w:w="1080"/>
            <w:tcMar>
              <w:top w:w="90" w:type="dxa"/>
              <w:start w:w="100" w:type="dxa"/>
              <w:bottom w:w="90" w:type="dxa"/>
              <w:end w:w="100" w:type="dxa"/>
            </w:tcMar>
            <w:vAlign w:val="center"/>
          </w:tcPr>
          <w:p>
            <w:pPr>
              <w:spacing w:after="0" w:line="240" w:lineRule="auto"/>
            </w:pPr>
            <w:r>
              <w:rPr>
                <w:sz w:val="16"/>
              </w:rPr>
              <w:t>PARTIAL</w:t>
            </w:r>
          </w:p>
        </w:tc>
        <w:tc>
          <w:tcPr>
            <w:tcW w:type="dxa" w:w="7704"/>
            <w:tcMar>
              <w:top w:w="90" w:type="dxa"/>
              <w:start w:w="100" w:type="dxa"/>
              <w:bottom w:w="90" w:type="dxa"/>
              <w:end w:w="100" w:type="dxa"/>
            </w:tcMar>
            <w:vAlign w:val="center"/>
          </w:tcPr>
          <w:p>
            <w:pPr>
              <w:spacing w:after="0" w:line="240" w:lineRule="auto"/>
            </w:pPr>
            <w:r>
              <w:rPr>
                <w:sz w:val="16"/>
              </w:rPr>
              <w:t>Apollo, Outscraper, and OpenAI adapters exist and manifest admission was added.</w:t>
            </w:r>
          </w:p>
        </w:tc>
      </w:tr>
      <w:tr>
        <w:tc>
          <w:tcPr>
            <w:tcW w:type="dxa" w:w="2088"/>
            <w:shd w:fill="F3F6F9"/>
            <w:tcMar>
              <w:top w:w="90" w:type="dxa"/>
              <w:start w:w="100" w:type="dxa"/>
              <w:bottom w:w="90" w:type="dxa"/>
              <w:end w:w="100" w:type="dxa"/>
            </w:tcMar>
            <w:vAlign w:val="center"/>
          </w:tcPr>
          <w:p>
            <w:pPr>
              <w:spacing w:after="0" w:line="240" w:lineRule="auto"/>
            </w:pPr>
            <w:r>
              <w:rPr>
                <w:sz w:val="16"/>
              </w:rPr>
              <w:t>Existing-contact authority</w:t>
            </w:r>
          </w:p>
        </w:tc>
        <w:tc>
          <w:tcPr>
            <w:tcW w:type="dxa" w:w="1080"/>
            <w:shd w:fill="F3F6F9"/>
            <w:tcMar>
              <w:top w:w="90" w:type="dxa"/>
              <w:start w:w="100" w:type="dxa"/>
              <w:bottom w:w="90" w:type="dxa"/>
              <w:end w:w="100" w:type="dxa"/>
            </w:tcMar>
            <w:vAlign w:val="center"/>
          </w:tcPr>
          <w:p>
            <w:pPr>
              <w:spacing w:after="0" w:line="240" w:lineRule="auto"/>
            </w:pPr>
            <w:r>
              <w:rPr>
                <w:sz w:val="16"/>
              </w:rPr>
              <w:t>PASS</w:t>
            </w:r>
          </w:p>
        </w:tc>
        <w:tc>
          <w:tcPr>
            <w:tcW w:type="dxa" w:w="7704"/>
            <w:shd w:fill="F3F6F9"/>
            <w:tcMar>
              <w:top w:w="90" w:type="dxa"/>
              <w:start w:w="100" w:type="dxa"/>
              <w:bottom w:w="90" w:type="dxa"/>
              <w:end w:w="100" w:type="dxa"/>
            </w:tcMar>
            <w:vAlign w:val="center"/>
          </w:tcPr>
          <w:p>
            <w:pPr>
              <w:spacing w:after="0" w:line="240" w:lineRule="auto"/>
            </w:pPr>
            <w:r>
              <w:rPr>
                <w:sz w:val="16"/>
              </w:rPr>
              <w:t>Reuse requires current verified decisions and a consistent contacts.business_id projection.</w:t>
            </w:r>
          </w:p>
        </w:tc>
      </w:tr>
      <w:tr>
        <w:tc>
          <w:tcPr>
            <w:tcW w:type="dxa" w:w="2088"/>
            <w:tcMar>
              <w:top w:w="90" w:type="dxa"/>
              <w:start w:w="100" w:type="dxa"/>
              <w:bottom w:w="90" w:type="dxa"/>
              <w:end w:w="100" w:type="dxa"/>
            </w:tcMar>
            <w:vAlign w:val="center"/>
          </w:tcPr>
          <w:p>
            <w:pPr>
              <w:spacing w:after="0" w:line="240" w:lineRule="auto"/>
            </w:pPr>
            <w:r>
              <w:rPr>
                <w:sz w:val="16"/>
              </w:rPr>
              <w:t>Pre-cohort classification outcome</w:t>
            </w:r>
          </w:p>
        </w:tc>
        <w:tc>
          <w:tcPr>
            <w:tcW w:type="dxa" w:w="1080"/>
            <w:tcMar>
              <w:top w:w="90" w:type="dxa"/>
              <w:start w:w="100" w:type="dxa"/>
              <w:bottom w:w="90" w:type="dxa"/>
              <w:end w:w="100" w:type="dxa"/>
            </w:tcMar>
            <w:vAlign w:val="center"/>
          </w:tcPr>
          <w:p>
            <w:pPr>
              <w:spacing w:after="0" w:line="240" w:lineRule="auto"/>
            </w:pPr>
            <w:r>
              <w:rPr>
                <w:sz w:val="16"/>
              </w:rPr>
              <w:t>FAIL</w:t>
            </w:r>
          </w:p>
        </w:tc>
        <w:tc>
          <w:tcPr>
            <w:tcW w:type="dxa" w:w="7704"/>
            <w:tcMar>
              <w:top w:w="90" w:type="dxa"/>
              <w:start w:w="100" w:type="dxa"/>
              <w:bottom w:w="90" w:type="dxa"/>
              <w:end w:w="100" w:type="dxa"/>
            </w:tcMar>
            <w:vAlign w:val="center"/>
          </w:tcPr>
          <w:p>
            <w:pPr>
              <w:spacing w:after="0" w:line="240" w:lineRule="auto"/>
            </w:pPr>
            <w:r>
              <w:rPr>
                <w:sz w:val="16"/>
              </w:rPr>
              <w:t>Evidence is inserted, but ROI selection still ignores it; freeze only pins it best-effort.</w:t>
            </w:r>
          </w:p>
        </w:tc>
      </w:tr>
      <w:tr>
        <w:tc>
          <w:tcPr>
            <w:tcW w:type="dxa" w:w="2088"/>
            <w:shd w:fill="F3F6F9"/>
            <w:tcMar>
              <w:top w:w="90" w:type="dxa"/>
              <w:start w:w="100" w:type="dxa"/>
              <w:bottom w:w="90" w:type="dxa"/>
              <w:end w:w="100" w:type="dxa"/>
            </w:tcMar>
            <w:vAlign w:val="center"/>
          </w:tcPr>
          <w:p>
            <w:pPr>
              <w:spacing w:after="0" w:line="240" w:lineRule="auto"/>
            </w:pPr>
            <w:r>
              <w:rPr>
                <w:sz w:val="16"/>
              </w:rPr>
              <w:t>Paid spend safety</w:t>
            </w:r>
          </w:p>
        </w:tc>
        <w:tc>
          <w:tcPr>
            <w:tcW w:type="dxa" w:w="1080"/>
            <w:shd w:fill="F3F6F9"/>
            <w:tcMar>
              <w:top w:w="90" w:type="dxa"/>
              <w:start w:w="100" w:type="dxa"/>
              <w:bottom w:w="90" w:type="dxa"/>
              <w:end w:w="100" w:type="dxa"/>
            </w:tcMar>
            <w:vAlign w:val="center"/>
          </w:tcPr>
          <w:p>
            <w:pPr>
              <w:spacing w:after="0" w:line="240" w:lineRule="auto"/>
            </w:pPr>
            <w:r>
              <w:rPr>
                <w:sz w:val="16"/>
              </w:rPr>
              <w:t>FAIL</w:t>
            </w:r>
          </w:p>
        </w:tc>
        <w:tc>
          <w:tcPr>
            <w:tcW w:type="dxa" w:w="7704"/>
            <w:shd w:fill="F3F6F9"/>
            <w:tcMar>
              <w:top w:w="90" w:type="dxa"/>
              <w:start w:w="100" w:type="dxa"/>
              <w:bottom w:w="90" w:type="dxa"/>
              <w:end w:w="100" w:type="dxa"/>
            </w:tcMar>
            <w:vAlign w:val="center"/>
          </w:tcPr>
          <w:p>
            <w:pPr>
              <w:spacing w:after="0" w:line="240" w:lineRule="auto"/>
            </w:pPr>
            <w:r>
              <w:rPr>
                <w:sz w:val="16"/>
              </w:rPr>
              <w:t>Pre-cohort in-flight dollars are absent from the durable cap ledger and concurrent same-key execution is possible.</w:t>
            </w:r>
          </w:p>
        </w:tc>
      </w:tr>
      <w:tr>
        <w:tc>
          <w:tcPr>
            <w:tcW w:type="dxa" w:w="2088"/>
            <w:tcMar>
              <w:top w:w="90" w:type="dxa"/>
              <w:start w:w="100" w:type="dxa"/>
              <w:bottom w:w="90" w:type="dxa"/>
              <w:end w:w="100" w:type="dxa"/>
            </w:tcMar>
            <w:vAlign w:val="center"/>
          </w:tcPr>
          <w:p>
            <w:pPr>
              <w:spacing w:after="0" w:line="240" w:lineRule="auto"/>
            </w:pPr>
            <w:r>
              <w:rPr>
                <w:sz w:val="16"/>
              </w:rPr>
              <w:t>Paid waterfall correctness</w:t>
            </w:r>
          </w:p>
        </w:tc>
        <w:tc>
          <w:tcPr>
            <w:tcW w:type="dxa" w:w="1080"/>
            <w:tcMar>
              <w:top w:w="90" w:type="dxa"/>
              <w:start w:w="100" w:type="dxa"/>
              <w:bottom w:w="90" w:type="dxa"/>
              <w:end w:w="100" w:type="dxa"/>
            </w:tcMar>
            <w:vAlign w:val="center"/>
          </w:tcPr>
          <w:p>
            <w:pPr>
              <w:spacing w:after="0" w:line="240" w:lineRule="auto"/>
            </w:pPr>
            <w:r>
              <w:rPr>
                <w:sz w:val="16"/>
              </w:rPr>
              <w:t>FAIL</w:t>
            </w:r>
          </w:p>
        </w:tc>
        <w:tc>
          <w:tcPr>
            <w:tcW w:type="dxa" w:w="7704"/>
            <w:tcMar>
              <w:top w:w="90" w:type="dxa"/>
              <w:start w:w="100" w:type="dxa"/>
              <w:bottom w:w="90" w:type="dxa"/>
              <w:end w:w="100" w:type="dxa"/>
            </w:tcMar>
            <w:vAlign w:val="center"/>
          </w:tcPr>
          <w:p>
            <w:pPr>
              <w:spacing w:after="0" w:line="240" w:lineRule="auto"/>
            </w:pPr>
            <w:r>
              <w:rPr>
                <w:sz w:val="16"/>
              </w:rPr>
              <w:t>Order, stop conditions, suppression reuse, before/after vectors, and evidence closure are incomplete.</w:t>
            </w:r>
          </w:p>
        </w:tc>
      </w:tr>
      <w:tr>
        <w:tc>
          <w:tcPr>
            <w:tcW w:type="dxa" w:w="2088"/>
            <w:shd w:fill="F3F6F9"/>
            <w:tcMar>
              <w:top w:w="90" w:type="dxa"/>
              <w:start w:w="100" w:type="dxa"/>
              <w:bottom w:w="90" w:type="dxa"/>
              <w:end w:w="100" w:type="dxa"/>
            </w:tcMar>
            <w:vAlign w:val="center"/>
          </w:tcPr>
          <w:p>
            <w:pPr>
              <w:spacing w:after="0" w:line="240" w:lineRule="auto"/>
            </w:pPr>
            <w:r>
              <w:rPr>
                <w:sz w:val="16"/>
              </w:rPr>
              <w:t>Migration/schema parity</w:t>
            </w:r>
          </w:p>
        </w:tc>
        <w:tc>
          <w:tcPr>
            <w:tcW w:type="dxa" w:w="1080"/>
            <w:shd w:fill="F3F6F9"/>
            <w:tcMar>
              <w:top w:w="90" w:type="dxa"/>
              <w:start w:w="100" w:type="dxa"/>
              <w:bottom w:w="90" w:type="dxa"/>
              <w:end w:w="100" w:type="dxa"/>
            </w:tcMar>
            <w:vAlign w:val="center"/>
          </w:tcPr>
          <w:p>
            <w:pPr>
              <w:spacing w:after="0" w:line="240" w:lineRule="auto"/>
            </w:pPr>
            <w:r>
              <w:rPr>
                <w:sz w:val="16"/>
              </w:rPr>
              <w:t>FAIL</w:t>
            </w:r>
          </w:p>
        </w:tc>
        <w:tc>
          <w:tcPr>
            <w:tcW w:type="dxa" w:w="7704"/>
            <w:shd w:fill="F3F6F9"/>
            <w:tcMar>
              <w:top w:w="90" w:type="dxa"/>
              <w:start w:w="100" w:type="dxa"/>
              <w:bottom w:w="90" w:type="dxa"/>
              <w:end w:w="100" w:type="dxa"/>
            </w:tcMar>
            <w:vAlign w:val="center"/>
          </w:tcPr>
          <w:p>
            <w:pPr>
              <w:spacing w:after="0" w:line="240" w:lineRule="auto"/>
            </w:pPr>
            <w:r>
              <w:rPr>
                <w:sz w:val="16"/>
              </w:rPr>
              <w:t>Drizzle declares a broader stage-item CHECK than migration 0287.</w:t>
            </w:r>
          </w:p>
        </w:tc>
      </w:tr>
      <w:tr>
        <w:tc>
          <w:tcPr>
            <w:tcW w:type="dxa" w:w="2088"/>
            <w:tcMar>
              <w:top w:w="90" w:type="dxa"/>
              <w:start w:w="100" w:type="dxa"/>
              <w:bottom w:w="90" w:type="dxa"/>
              <w:end w:w="100" w:type="dxa"/>
            </w:tcMar>
            <w:vAlign w:val="center"/>
          </w:tcPr>
          <w:p>
            <w:pPr>
              <w:spacing w:after="0" w:line="240" w:lineRule="auto"/>
            </w:pPr>
            <w:r>
              <w:rPr>
                <w:sz w:val="16"/>
              </w:rPr>
              <w:t>Lead Ops operability</w:t>
            </w:r>
          </w:p>
        </w:tc>
        <w:tc>
          <w:tcPr>
            <w:tcW w:type="dxa" w:w="1080"/>
            <w:tcMar>
              <w:top w:w="90" w:type="dxa"/>
              <w:start w:w="100" w:type="dxa"/>
              <w:bottom w:w="90" w:type="dxa"/>
              <w:end w:w="100" w:type="dxa"/>
            </w:tcMar>
            <w:vAlign w:val="center"/>
          </w:tcPr>
          <w:p>
            <w:pPr>
              <w:spacing w:after="0" w:line="240" w:lineRule="auto"/>
            </w:pPr>
            <w:r>
              <w:rPr>
                <w:sz w:val="16"/>
              </w:rPr>
              <w:t>FAIL</w:t>
            </w:r>
          </w:p>
        </w:tc>
        <w:tc>
          <w:tcPr>
            <w:tcW w:type="dxa" w:w="7704"/>
            <w:tcMar>
              <w:top w:w="90" w:type="dxa"/>
              <w:start w:w="100" w:type="dxa"/>
              <w:bottom w:w="90" w:type="dxa"/>
              <w:end w:w="100" w:type="dxa"/>
            </w:tcMar>
            <w:vAlign w:val="center"/>
          </w:tcPr>
          <w:p>
            <w:pPr>
              <w:spacing w:after="0" w:line="240" w:lineRule="auto"/>
            </w:pPr>
            <w:r>
              <w:rPr>
                <w:sz w:val="16"/>
              </w:rPr>
              <w:t>No client changes were merged; new routes have no operator workflow.</w:t>
            </w:r>
          </w:p>
        </w:tc>
      </w:tr>
      <w:tr>
        <w:tc>
          <w:tcPr>
            <w:tcW w:type="dxa" w:w="2088"/>
            <w:shd w:fill="F3F6F9"/>
            <w:tcMar>
              <w:top w:w="90" w:type="dxa"/>
              <w:start w:w="100" w:type="dxa"/>
              <w:bottom w:w="90" w:type="dxa"/>
              <w:end w:w="100" w:type="dxa"/>
            </w:tcMar>
            <w:vAlign w:val="center"/>
          </w:tcPr>
          <w:p>
            <w:pPr>
              <w:spacing w:after="0" w:line="240" w:lineRule="auto"/>
            </w:pPr>
            <w:r>
              <w:rPr>
                <w:sz w:val="16"/>
              </w:rPr>
              <w:t>Task 2000 handoff</w:t>
            </w:r>
          </w:p>
        </w:tc>
        <w:tc>
          <w:tcPr>
            <w:tcW w:type="dxa" w:w="1080"/>
            <w:shd w:fill="F3F6F9"/>
            <w:tcMar>
              <w:top w:w="90" w:type="dxa"/>
              <w:start w:w="100" w:type="dxa"/>
              <w:bottom w:w="90" w:type="dxa"/>
              <w:end w:w="100" w:type="dxa"/>
            </w:tcMar>
            <w:vAlign w:val="center"/>
          </w:tcPr>
          <w:p>
            <w:pPr>
              <w:spacing w:after="0" w:line="240" w:lineRule="auto"/>
            </w:pPr>
            <w:r>
              <w:rPr>
                <w:sz w:val="16"/>
              </w:rPr>
              <w:t>FAIL</w:t>
            </w:r>
          </w:p>
        </w:tc>
        <w:tc>
          <w:tcPr>
            <w:tcW w:type="dxa" w:w="7704"/>
            <w:shd w:fill="F3F6F9"/>
            <w:tcMar>
              <w:top w:w="90" w:type="dxa"/>
              <w:start w:w="100" w:type="dxa"/>
              <w:bottom w:w="90" w:type="dxa"/>
              <w:end w:w="100" w:type="dxa"/>
            </w:tcMar>
            <w:vAlign w:val="center"/>
          </w:tcPr>
          <w:p>
            <w:pPr>
              <w:spacing w:after="0" w:line="240" w:lineRule="auto"/>
            </w:pPr>
            <w:r>
              <w:rPr>
                <w:sz w:val="16"/>
              </w:rPr>
              <w:t>Paid evidence is not consumable by the current validation schema/service.</w:t>
            </w:r>
          </w:p>
        </w:tc>
      </w:tr>
      <w:tr>
        <w:tc>
          <w:tcPr>
            <w:tcW w:type="dxa" w:w="2088"/>
            <w:tcMar>
              <w:top w:w="90" w:type="dxa"/>
              <w:start w:w="100" w:type="dxa"/>
              <w:bottom w:w="90" w:type="dxa"/>
              <w:end w:w="100" w:type="dxa"/>
            </w:tcMar>
            <w:vAlign w:val="center"/>
          </w:tcPr>
          <w:p>
            <w:pPr>
              <w:spacing w:after="0" w:line="240" w:lineRule="auto"/>
            </w:pPr>
            <w:r>
              <w:rPr>
                <w:sz w:val="16"/>
              </w:rPr>
              <w:t>Mandatory certification</w:t>
            </w:r>
          </w:p>
        </w:tc>
        <w:tc>
          <w:tcPr>
            <w:tcW w:type="dxa" w:w="1080"/>
            <w:tcMar>
              <w:top w:w="90" w:type="dxa"/>
              <w:start w:w="100" w:type="dxa"/>
              <w:bottom w:w="90" w:type="dxa"/>
              <w:end w:w="100" w:type="dxa"/>
            </w:tcMar>
            <w:vAlign w:val="center"/>
          </w:tcPr>
          <w:p>
            <w:pPr>
              <w:spacing w:after="0" w:line="240" w:lineRule="auto"/>
            </w:pPr>
            <w:r>
              <w:rPr>
                <w:sz w:val="16"/>
              </w:rPr>
              <w:t>FAIL</w:t>
            </w:r>
          </w:p>
        </w:tc>
        <w:tc>
          <w:tcPr>
            <w:tcW w:type="dxa" w:w="7704"/>
            <w:tcMar>
              <w:top w:w="90" w:type="dxa"/>
              <w:start w:w="100" w:type="dxa"/>
              <w:bottom w:w="90" w:type="dxa"/>
              <w:end w:w="100" w:type="dxa"/>
            </w:tcMar>
            <w:vAlign w:val="center"/>
          </w:tcPr>
          <w:p>
            <w:pPr>
              <w:spacing w:after="0" w:line="240" w:lineRule="auto"/>
            </w:pPr>
            <w:r>
              <w:rPr>
                <w:sz w:val="16"/>
              </w:rPr>
              <w:t>New Task 1999 suites are not registered in the CI manifest or mandatory pre-deploy list.</w:t>
            </w:r>
          </w:p>
        </w:tc>
      </w:tr>
    </w:tbl>
    <w:p>
      <w:pPr>
        <w:widowControl/>
        <w:spacing w:after="20"/>
      </w:pPr>
    </w:p>
    <w:p>
      <w:pPr>
        <w:pStyle w:val="Heading1"/>
        <w:keepNext/>
        <w:widowControl/>
      </w:pPr>
      <w:r>
        <w:t>3 Blocking Findings and Required Corrections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trPr>
        <w:tc>
          <w:tcPr>
            <w:tcW w:type="dxa" w:w="864"/>
            <w:shd w:fill="173A5E"/>
            <w:vAlign w:val="center"/>
            <w:tcMar>
              <w:top w:w="90" w:type="dxa"/>
              <w:start w:w="100" w:type="dxa"/>
              <w:bottom w:w="90" w:type="dxa"/>
              <w:end w:w="100" w:type="dxa"/>
            </w:tcMar>
          </w:tcPr>
          <w:p>
            <w:pPr>
              <w:jc w:val="center"/>
            </w:pPr>
            <w:r>
              <w:rPr>
                <w:b/>
                <w:color w:val="FFFFFF"/>
                <w:sz w:val="14"/>
              </w:rPr>
              <w:t>ID</w:t>
            </w:r>
          </w:p>
        </w:tc>
        <w:tc>
          <w:tcPr>
            <w:tcW w:type="dxa" w:w="2232"/>
            <w:shd w:fill="173A5E"/>
            <w:vAlign w:val="center"/>
            <w:tcMar>
              <w:top w:w="90" w:type="dxa"/>
              <w:start w:w="100" w:type="dxa"/>
              <w:bottom w:w="90" w:type="dxa"/>
              <w:end w:w="100" w:type="dxa"/>
            </w:tcMar>
          </w:tcPr>
          <w:p>
            <w:pPr>
              <w:jc w:val="center"/>
            </w:pPr>
            <w:r>
              <w:rPr>
                <w:b/>
                <w:color w:val="FFFFFF"/>
                <w:sz w:val="14"/>
              </w:rPr>
              <w:t>Finding</w:t>
            </w:r>
          </w:p>
        </w:tc>
        <w:tc>
          <w:tcPr>
            <w:tcW w:type="dxa" w:w="3960"/>
            <w:shd w:fill="173A5E"/>
            <w:vAlign w:val="center"/>
            <w:tcMar>
              <w:top w:w="90" w:type="dxa"/>
              <w:start w:w="100" w:type="dxa"/>
              <w:bottom w:w="90" w:type="dxa"/>
              <w:end w:w="100" w:type="dxa"/>
            </w:tcMar>
          </w:tcPr>
          <w:p>
            <w:pPr>
              <w:jc w:val="center"/>
            </w:pPr>
            <w:r>
              <w:rPr>
                <w:b/>
                <w:color w:val="FFFFFF"/>
                <w:sz w:val="14"/>
              </w:rPr>
              <w:t>Evidence</w:t>
            </w:r>
          </w:p>
        </w:tc>
        <w:tc>
          <w:tcPr>
            <w:tcW w:type="dxa" w:w="3888"/>
            <w:shd w:fill="173A5E"/>
            <w:vAlign w:val="center"/>
            <w:tcMar>
              <w:top w:w="90" w:type="dxa"/>
              <w:start w:w="100" w:type="dxa"/>
              <w:bottom w:w="90" w:type="dxa"/>
              <w:end w:w="100" w:type="dxa"/>
            </w:tcMar>
          </w:tcPr>
          <w:p>
            <w:pPr>
              <w:jc w:val="center"/>
            </w:pPr>
            <w:r>
              <w:rPr>
                <w:b/>
                <w:color w:val="FFFFFF"/>
                <w:sz w:val="14"/>
              </w:rPr>
              <w:t>Required correction</w:t>
            </w:r>
          </w:p>
        </w:tc>
      </w:tr>
      <w:tr>
        <w:tc>
          <w:tcPr>
            <w:tcW w:type="dxa" w:w="864"/>
            <w:tcMar>
              <w:top w:w="90" w:type="dxa"/>
              <w:start w:w="100" w:type="dxa"/>
              <w:bottom w:w="90" w:type="dxa"/>
              <w:end w:w="100" w:type="dxa"/>
            </w:tcMar>
            <w:vAlign w:val="center"/>
          </w:tcPr>
          <w:p>
            <w:pPr>
              <w:spacing w:after="0" w:line="240" w:lineRule="auto"/>
            </w:pPr>
            <w:r>
              <w:rPr>
                <w:sz w:val="14"/>
              </w:rPr>
              <w:t>P0 1</w:t>
            </w:r>
          </w:p>
        </w:tc>
        <w:tc>
          <w:tcPr>
            <w:tcW w:type="dxa" w:w="2232"/>
            <w:tcMar>
              <w:top w:w="90" w:type="dxa"/>
              <w:start w:w="100" w:type="dxa"/>
              <w:bottom w:w="90" w:type="dxa"/>
              <w:end w:w="100" w:type="dxa"/>
            </w:tcMar>
            <w:vAlign w:val="center"/>
          </w:tcPr>
          <w:p>
            <w:pPr>
              <w:spacing w:after="0" w:line="240" w:lineRule="auto"/>
            </w:pPr>
            <w:r>
              <w:rPr>
                <w:sz w:val="14"/>
              </w:rPr>
              <w:t>Classification does not affect cohort eligibility</w:t>
            </w:r>
          </w:p>
        </w:tc>
        <w:tc>
          <w:tcPr>
            <w:tcW w:type="dxa" w:w="3960"/>
            <w:tcMar>
              <w:top w:w="90" w:type="dxa"/>
              <w:start w:w="100" w:type="dxa"/>
              <w:bottom w:w="90" w:type="dxa"/>
              <w:end w:w="100" w:type="dxa"/>
            </w:tcMar>
            <w:vAlign w:val="center"/>
          </w:tcPr>
          <w:p>
            <w:pPr>
              <w:spacing w:after="0" w:line="240" w:lineRule="auto"/>
            </w:pPr>
            <w:r>
              <w:rPr>
                <w:sz w:val="14"/>
              </w:rPr>
              <w:t>sfp-classification-bridge.ts writes sfp_classification_evidence, but roi-cohort-selector.ts never reads it. south-florida-prospecting.ts explicitly says freeze does not depend on the bridge and only pins the latest row best-effort.</w:t>
            </w:r>
          </w:p>
        </w:tc>
        <w:tc>
          <w:tcPr>
            <w:tcW w:type="dxa" w:w="3888"/>
            <w:tcMar>
              <w:top w:w="90" w:type="dxa"/>
              <w:start w:w="100" w:type="dxa"/>
              <w:bottom w:w="90" w:type="dxa"/>
              <w:end w:w="100" w:type="dxa"/>
            </w:tcMar>
            <w:vAlign w:val="center"/>
          </w:tcPr>
          <w:p>
            <w:pPr>
              <w:spacing w:after="0" w:line="240" w:lineRule="auto"/>
            </w:pPr>
            <w:r>
              <w:rPr>
                <w:sz w:val="14"/>
              </w:rPr>
              <w:t>Make current-policy classification evidence an explicit classifier input. Target evidence may admit; non-target must exclude; review-required must remain out. Pin the exact row and include its ID/hash/policy/classifier version in the frozen manifest and cohort hash.</w:t>
            </w:r>
          </w:p>
        </w:tc>
      </w:tr>
      <w:tr>
        <w:tc>
          <w:tcPr>
            <w:tcW w:type="dxa" w:w="864"/>
            <w:shd w:fill="F3F6F9"/>
            <w:tcMar>
              <w:top w:w="90" w:type="dxa"/>
              <w:start w:w="100" w:type="dxa"/>
              <w:bottom w:w="90" w:type="dxa"/>
              <w:end w:w="100" w:type="dxa"/>
            </w:tcMar>
            <w:vAlign w:val="center"/>
          </w:tcPr>
          <w:p>
            <w:pPr>
              <w:spacing w:after="0" w:line="240" w:lineRule="auto"/>
            </w:pPr>
            <w:r>
              <w:rPr>
                <w:sz w:val="14"/>
              </w:rPr>
              <w:t>P0 2</w:t>
            </w:r>
          </w:p>
        </w:tc>
        <w:tc>
          <w:tcPr>
            <w:tcW w:type="dxa" w:w="2232"/>
            <w:shd w:fill="F3F6F9"/>
            <w:tcMar>
              <w:top w:w="90" w:type="dxa"/>
              <w:start w:w="100" w:type="dxa"/>
              <w:bottom w:w="90" w:type="dxa"/>
              <w:end w:w="100" w:type="dxa"/>
            </w:tcMar>
            <w:vAlign w:val="center"/>
          </w:tcPr>
          <w:p>
            <w:pPr>
              <w:spacing w:after="0" w:line="240" w:lineRule="auto"/>
            </w:pPr>
            <w:r>
              <w:rPr>
                <w:sz w:val="14"/>
              </w:rPr>
              <w:t>Pre-cohort cap can be oversubscribed</w:t>
            </w:r>
          </w:p>
        </w:tc>
        <w:tc>
          <w:tcPr>
            <w:tcW w:type="dxa" w:w="3960"/>
            <w:shd w:fill="F3F6F9"/>
            <w:tcMar>
              <w:top w:w="90" w:type="dxa"/>
              <w:start w:w="100" w:type="dxa"/>
              <w:bottom w:w="90" w:type="dxa"/>
              <w:end w:w="100" w:type="dxa"/>
            </w:tcMar>
            <w:vAlign w:val="center"/>
          </w:tcPr>
          <w:p>
            <w:pPr>
              <w:spacing w:after="0" w:line="240" w:lineRule="auto"/>
            </w:pPr>
            <w:r>
              <w:rPr>
                <w:sz w:val="14"/>
              </w:rPr>
              <w:t>reservePreCohortSfpProviderOperation sums completed evidence cost but never increments sfp_classification_runs.reserved_cost_micros. In-flight reservations therefore disappear from the shared $50 calculation until evidence is written.</w:t>
            </w:r>
          </w:p>
        </w:tc>
        <w:tc>
          <w:tcPr>
            <w:tcW w:type="dxa" w:w="3888"/>
            <w:shd w:fill="F3F6F9"/>
            <w:tcMar>
              <w:top w:w="90" w:type="dxa"/>
              <w:start w:w="100" w:type="dxa"/>
              <w:bottom w:w="90" w:type="dxa"/>
              <w:end w:w="100" w:type="dxa"/>
            </w:tcMar>
            <w:vAlign w:val="center"/>
          </w:tcPr>
          <w:p>
            <w:pPr>
              <w:spacing w:after="0" w:line="240" w:lineRule="auto"/>
            </w:pPr>
            <w:r>
              <w:rPr>
                <w:sz w:val="14"/>
              </w:rPr>
              <w:t>Atomically persist reserved dollars before I/O under the shared advisory lock; decrement reservation and increment settled dollars atomically on settlement. Reconcile crashes and expired leases without losing reserved or settled spend.</w:t>
            </w:r>
          </w:p>
        </w:tc>
      </w:tr>
      <w:tr>
        <w:tc>
          <w:tcPr>
            <w:tcW w:type="dxa" w:w="864"/>
            <w:tcMar>
              <w:top w:w="90" w:type="dxa"/>
              <w:start w:w="100" w:type="dxa"/>
              <w:bottom w:w="90" w:type="dxa"/>
              <w:end w:w="100" w:type="dxa"/>
            </w:tcMar>
            <w:vAlign w:val="center"/>
          </w:tcPr>
          <w:p>
            <w:pPr>
              <w:spacing w:after="0" w:line="240" w:lineRule="auto"/>
            </w:pPr>
            <w:r>
              <w:rPr>
                <w:sz w:val="14"/>
              </w:rPr>
              <w:t>P0 3</w:t>
            </w:r>
          </w:p>
        </w:tc>
        <w:tc>
          <w:tcPr>
            <w:tcW w:type="dxa" w:w="2232"/>
            <w:tcMar>
              <w:top w:w="90" w:type="dxa"/>
              <w:start w:w="100" w:type="dxa"/>
              <w:bottom w:w="90" w:type="dxa"/>
              <w:end w:w="100" w:type="dxa"/>
            </w:tcMar>
            <w:vAlign w:val="center"/>
          </w:tcPr>
          <w:p>
            <w:pPr>
              <w:spacing w:after="0" w:line="240" w:lineRule="auto"/>
            </w:pPr>
            <w:r>
              <w:rPr>
                <w:sz w:val="14"/>
              </w:rPr>
              <w:t>Concurrent replay can duplicate paid calls</w:t>
            </w:r>
          </w:p>
        </w:tc>
        <w:tc>
          <w:tcPr>
            <w:tcW w:type="dxa" w:w="3960"/>
            <w:tcMar>
              <w:top w:w="90" w:type="dxa"/>
              <w:start w:w="100" w:type="dxa"/>
              <w:bottom w:w="90" w:type="dxa"/>
              <w:end w:w="100" w:type="dxa"/>
            </w:tcMar>
            <w:vAlign w:val="center"/>
          </w:tcPr>
          <w:p>
            <w:pPr>
              <w:spacing w:after="0" w:line="240" w:lineRule="auto"/>
            </w:pPr>
            <w:r>
              <w:rPr>
                <w:sz w:val="14"/>
              </w:rPr>
              <w:t>The run-level advisory lock ends after run creation/resume. Two same-key callers can process the same items. The pre-cohort provider path returns an existing running or completed operation and then calls the provider again; it has no final pre-I/O lease recheck.</w:t>
            </w:r>
          </w:p>
        </w:tc>
        <w:tc>
          <w:tcPr>
            <w:tcW w:type="dxa" w:w="3888"/>
            <w:tcMar>
              <w:top w:w="90" w:type="dxa"/>
              <w:start w:w="100" w:type="dxa"/>
              <w:bottom w:w="90" w:type="dxa"/>
              <w:end w:w="100" w:type="dxa"/>
            </w:tcMar>
            <w:vAlign w:val="center"/>
          </w:tcPr>
          <w:p>
            <w:pPr>
              <w:spacing w:after="0" w:line="240" w:lineRule="auto"/>
            </w:pPr>
            <w:r>
              <w:rPr>
                <w:sz w:val="14"/>
              </w:rPr>
              <w:t>Fence the whole item claim with renewable leases and claim tokens. A completed provider operation must replay its stored outcome, never invoke transport. Add a final provider-control, lease, cancellation, and cap check immediately before I/O.</w:t>
            </w:r>
          </w:p>
        </w:tc>
      </w:tr>
      <w:tr>
        <w:tc>
          <w:tcPr>
            <w:tcW w:type="dxa" w:w="864"/>
            <w:shd w:fill="F3F6F9"/>
            <w:tcMar>
              <w:top w:w="90" w:type="dxa"/>
              <w:start w:w="100" w:type="dxa"/>
              <w:bottom w:w="90" w:type="dxa"/>
              <w:end w:w="100" w:type="dxa"/>
            </w:tcMar>
            <w:vAlign w:val="center"/>
          </w:tcPr>
          <w:p>
            <w:pPr>
              <w:spacing w:after="0" w:line="240" w:lineRule="auto"/>
            </w:pPr>
            <w:r>
              <w:rPr>
                <w:sz w:val="14"/>
              </w:rPr>
              <w:t>P0 4</w:t>
            </w:r>
          </w:p>
        </w:tc>
        <w:tc>
          <w:tcPr>
            <w:tcW w:type="dxa" w:w="2232"/>
            <w:shd w:fill="F3F6F9"/>
            <w:tcMar>
              <w:top w:w="90" w:type="dxa"/>
              <w:start w:w="100" w:type="dxa"/>
              <w:bottom w:w="90" w:type="dxa"/>
              <w:end w:w="100" w:type="dxa"/>
            </w:tcMar>
            <w:vAlign w:val="center"/>
          </w:tcPr>
          <w:p>
            <w:pPr>
              <w:spacing w:after="0" w:line="240" w:lineRule="auto"/>
            </w:pPr>
            <w:r>
              <w:rPr>
                <w:sz w:val="14"/>
              </w:rPr>
              <w:t>Schema push can reject existing ZeroBounce rows</w:t>
            </w:r>
          </w:p>
        </w:tc>
        <w:tc>
          <w:tcPr>
            <w:tcW w:type="dxa" w:w="3960"/>
            <w:shd w:fill="F3F6F9"/>
            <w:tcMar>
              <w:top w:w="90" w:type="dxa"/>
              <w:start w:w="100" w:type="dxa"/>
              <w:bottom w:w="90" w:type="dxa"/>
              <w:end w:w="100" w:type="dxa"/>
            </w:tcMar>
            <w:vAlign w:val="center"/>
          </w:tcPr>
          <w:p>
            <w:pPr>
              <w:spacing w:after="0" w:line="240" w:lineRule="auto"/>
            </w:pPr>
            <w:r>
              <w:rPr>
                <w:sz w:val="14"/>
              </w:rPr>
              <w:t>Migration 0287 scopes the candidate-reference CHECK to Apollo and Outscraper. shared/schema.ts applies it to every provider and requires both references null for non-candidate_found outcomes. Existing ZeroBounce items can carry candidate_id with valid or invalid outcomes.</w:t>
            </w:r>
          </w:p>
        </w:tc>
        <w:tc>
          <w:tcPr>
            <w:tcW w:type="dxa" w:w="3888"/>
            <w:shd w:fill="F3F6F9"/>
            <w:tcMar>
              <w:top w:w="90" w:type="dxa"/>
              <w:start w:w="100" w:type="dxa"/>
              <w:bottom w:w="90" w:type="dxa"/>
              <w:end w:w="100" w:type="dxa"/>
            </w:tcMar>
            <w:vAlign w:val="center"/>
          </w:tcPr>
          <w:p>
            <w:pPr>
              <w:spacing w:after="0" w:line="240" w:lineRule="auto"/>
            </w:pPr>
            <w:r>
              <w:rPr>
                <w:sz w:val="14"/>
              </w:rPr>
              <w:t>Make shared/schema.ts byte-for-byte semantically equivalent to migration 0287. Add a migration-parity test plus fixtures for ZeroBounce validation rows and Apollo or Outscraper candidate rows.</w:t>
            </w:r>
          </w:p>
        </w:tc>
      </w:tr>
      <w:tr>
        <w:tc>
          <w:tcPr>
            <w:tcW w:type="dxa" w:w="864"/>
            <w:tcMar>
              <w:top w:w="90" w:type="dxa"/>
              <w:start w:w="100" w:type="dxa"/>
              <w:bottom w:w="90" w:type="dxa"/>
              <w:end w:w="100" w:type="dxa"/>
            </w:tcMar>
            <w:vAlign w:val="center"/>
          </w:tcPr>
          <w:p>
            <w:pPr>
              <w:spacing w:after="0" w:line="240" w:lineRule="auto"/>
            </w:pPr>
            <w:r>
              <w:rPr>
                <w:sz w:val="14"/>
              </w:rPr>
              <w:t>P0 5</w:t>
            </w:r>
          </w:p>
        </w:tc>
        <w:tc>
          <w:tcPr>
            <w:tcW w:type="dxa" w:w="2232"/>
            <w:tcMar>
              <w:top w:w="90" w:type="dxa"/>
              <w:start w:w="100" w:type="dxa"/>
              <w:bottom w:w="90" w:type="dxa"/>
              <w:end w:w="100" w:type="dxa"/>
            </w:tcMar>
            <w:vAlign w:val="center"/>
          </w:tcPr>
          <w:p>
            <w:pPr>
              <w:spacing w:after="0" w:line="240" w:lineRule="auto"/>
            </w:pPr>
            <w:r>
              <w:rPr>
                <w:sz w:val="14"/>
              </w:rPr>
              <w:t>Waterfall is not evidence-gap driven</w:t>
            </w:r>
          </w:p>
        </w:tc>
        <w:tc>
          <w:tcPr>
            <w:tcW w:type="dxa" w:w="3960"/>
            <w:tcMar>
              <w:top w:w="90" w:type="dxa"/>
              <w:start w:w="100" w:type="dxa"/>
              <w:bottom w:w="90" w:type="dxa"/>
              <w:end w:w="100" w:type="dxa"/>
            </w:tcMar>
            <w:vAlign w:val="center"/>
          </w:tcPr>
          <w:p>
            <w:pPr>
              <w:spacing w:after="0" w:line="240" w:lineRule="auto"/>
            </w:pPr>
            <w:r>
              <w:rPr>
                <w:sz w:val="14"/>
              </w:rPr>
              <w:t>The person/identity function calls Apollo before Outscraper, hardcodes targetVerticalResolved=true, passes no subject suppressions, treats verified contact presence as free evidence, leaves before and after vectors identical, and does not persist vectors.</w:t>
            </w:r>
          </w:p>
        </w:tc>
        <w:tc>
          <w:tcPr>
            <w:tcW w:type="dxa" w:w="3888"/>
            <w:tcMar>
              <w:top w:w="90" w:type="dxa"/>
              <w:start w:w="100" w:type="dxa"/>
              <w:bottom w:w="90" w:type="dxa"/>
              <w:end w:w="100" w:type="dxa"/>
            </w:tcMar>
            <w:vAlign w:val="center"/>
          </w:tcPr>
          <w:p>
            <w:pPr>
              <w:spacing w:after="0" w:line="240" w:lineRule="auto"/>
            </w:pPr>
            <w:r>
              <w:rPr>
                <w:sz w:val="14"/>
              </w:rPr>
              <w:t>Derive one durable vector per business from frozen decision evidence, free candidates, current verified links, suppression/bounce/relationship state, and prior paid evidence. Execute Serper then free recrawl, Outscraper, and Apollo only for remaining dimensions. Persist before/after closure and exact evidence references.</w:t>
            </w:r>
          </w:p>
        </w:tc>
      </w:tr>
      <w:tr>
        <w:tc>
          <w:tcPr>
            <w:tcW w:type="dxa" w:w="864"/>
            <w:shd w:fill="F3F6F9"/>
            <w:tcMar>
              <w:top w:w="90" w:type="dxa"/>
              <w:start w:w="100" w:type="dxa"/>
              <w:bottom w:w="90" w:type="dxa"/>
              <w:end w:w="100" w:type="dxa"/>
            </w:tcMar>
            <w:vAlign w:val="center"/>
          </w:tcPr>
          <w:p>
            <w:pPr>
              <w:spacing w:after="0" w:line="240" w:lineRule="auto"/>
            </w:pPr>
            <w:r>
              <w:rPr>
                <w:sz w:val="14"/>
              </w:rPr>
              <w:t>P0 6</w:t>
            </w:r>
          </w:p>
        </w:tc>
        <w:tc>
          <w:tcPr>
            <w:tcW w:type="dxa" w:w="2232"/>
            <w:shd w:fill="F3F6F9"/>
            <w:tcMar>
              <w:top w:w="90" w:type="dxa"/>
              <w:start w:w="100" w:type="dxa"/>
              <w:bottom w:w="90" w:type="dxa"/>
              <w:end w:w="100" w:type="dxa"/>
            </w:tcMar>
            <w:vAlign w:val="center"/>
          </w:tcPr>
          <w:p>
            <w:pPr>
              <w:spacing w:after="0" w:line="240" w:lineRule="auto"/>
            </w:pPr>
            <w:r>
              <w:rPr>
                <w:sz w:val="14"/>
              </w:rPr>
              <w:t>Provider results do not close declared gaps</w:t>
            </w:r>
          </w:p>
        </w:tc>
        <w:tc>
          <w:tcPr>
            <w:tcW w:type="dxa" w:w="3960"/>
            <w:shd w:fill="F3F6F9"/>
            <w:tcMar>
              <w:top w:w="90" w:type="dxa"/>
              <w:start w:w="100" w:type="dxa"/>
              <w:bottom w:w="90" w:type="dxa"/>
              <w:end w:w="100" w:type="dxa"/>
            </w:tcMar>
            <w:vAlign w:val="center"/>
          </w:tcPr>
          <w:p>
            <w:pPr>
              <w:spacing w:after="0" w:line="240" w:lineRule="auto"/>
            </w:pPr>
            <w:r>
              <w:rPr>
                <w:sz w:val="14"/>
              </w:rPr>
              <w:t>Outscraper only persists a phone and never persists returned website, category, address, or email. Apollo takes the first person without the canonical candidate-tier ranking.</w:t>
            </w:r>
          </w:p>
        </w:tc>
        <w:tc>
          <w:tcPr>
            <w:tcW w:type="dxa" w:w="3888"/>
            <w:shd w:fill="F3F6F9"/>
            <w:tcMar>
              <w:top w:w="90" w:type="dxa"/>
              <w:start w:w="100" w:type="dxa"/>
              <w:bottom w:w="90" w:type="dxa"/>
              <w:end w:w="100" w:type="dxa"/>
            </w:tcMar>
            <w:vAlign w:val="center"/>
          </w:tcPr>
          <w:p>
            <w:pPr>
              <w:spacing w:after="0" w:line="240" w:lineRule="auto"/>
            </w:pPr>
            <w:r>
              <w:rPr>
                <w:sz w:val="14"/>
              </w:rPr>
              <w:t>Normalize every allowed returned field, update canonical business identity through the governed projection path, rank people using candidate-selector tiers, and stop only after the requested gap is demonstrably closed.</w:t>
            </w:r>
          </w:p>
        </w:tc>
      </w:tr>
      <w:tr>
        <w:tc>
          <w:tcPr>
            <w:tcW w:type="dxa" w:w="864"/>
            <w:tcMar>
              <w:top w:w="90" w:type="dxa"/>
              <w:start w:w="100" w:type="dxa"/>
              <w:bottom w:w="90" w:type="dxa"/>
              <w:end w:w="100" w:type="dxa"/>
            </w:tcMar>
            <w:vAlign w:val="center"/>
          </w:tcPr>
          <w:p>
            <w:pPr>
              <w:spacing w:after="0" w:line="240" w:lineRule="auto"/>
            </w:pPr>
            <w:r>
              <w:rPr>
                <w:sz w:val="14"/>
              </w:rPr>
              <w:t>P0 7</w:t>
            </w:r>
          </w:p>
        </w:tc>
        <w:tc>
          <w:tcPr>
            <w:tcW w:type="dxa" w:w="2232"/>
            <w:tcMar>
              <w:top w:w="90" w:type="dxa"/>
              <w:start w:w="100" w:type="dxa"/>
              <w:bottom w:w="90" w:type="dxa"/>
              <w:end w:w="100" w:type="dxa"/>
            </w:tcMar>
            <w:vAlign w:val="center"/>
          </w:tcPr>
          <w:p>
            <w:pPr>
              <w:spacing w:after="0" w:line="240" w:lineRule="auto"/>
            </w:pPr>
            <w:r>
              <w:rPr>
                <w:sz w:val="14"/>
              </w:rPr>
              <w:t>Run idempotency is under-specified</w:t>
            </w:r>
          </w:p>
        </w:tc>
        <w:tc>
          <w:tcPr>
            <w:tcW w:type="dxa" w:w="3960"/>
            <w:tcMar>
              <w:top w:w="90" w:type="dxa"/>
              <w:start w:w="100" w:type="dxa"/>
              <w:bottom w:w="90" w:type="dxa"/>
              <w:end w:w="100" w:type="dxa"/>
            </w:tcMar>
            <w:vAlign w:val="center"/>
          </w:tcPr>
          <w:p>
            <w:pPr>
              <w:spacing w:after="0" w:line="240" w:lineRule="auto"/>
            </w:pPr>
            <w:r>
              <w:rPr>
                <w:sz w:val="14"/>
              </w:rPr>
              <w:t>Paid-waterfall replay compares only stage and idempotency key. It does not bind cohort, maxBusinesses, provider set, evidence snapshot, or config. Classification config hash omits programId, classifierVersion, and the Serper-discovery authorization flag.</w:t>
            </w:r>
          </w:p>
        </w:tc>
        <w:tc>
          <w:tcPr>
            <w:tcW w:type="dxa" w:w="3888"/>
            <w:tcMar>
              <w:top w:w="90" w:type="dxa"/>
              <w:start w:w="100" w:type="dxa"/>
              <w:bottom w:w="90" w:type="dxa"/>
              <w:end w:w="100" w:type="dxa"/>
            </w:tcMar>
            <w:vAlign w:val="center"/>
          </w:tcPr>
          <w:p>
            <w:pPr>
              <w:spacing w:after="0" w:line="240" w:lineRule="auto"/>
            </w:pPr>
            <w:r>
              <w:rPr>
                <w:sz w:val="14"/>
              </w:rPr>
              <w:t>Persist a complete request/config/evidence hash. Same-key same-payload returns the original result; same-key different payload fails closed. Test cross-cohort and changed-cap/provider/evidence replays.</w:t>
            </w:r>
          </w:p>
        </w:tc>
      </w:tr>
      <w:tr>
        <w:tc>
          <w:tcPr>
            <w:tcW w:type="dxa" w:w="864"/>
            <w:shd w:fill="F3F6F9"/>
            <w:tcMar>
              <w:top w:w="90" w:type="dxa"/>
              <w:start w:w="100" w:type="dxa"/>
              <w:bottom w:w="90" w:type="dxa"/>
              <w:end w:w="100" w:type="dxa"/>
            </w:tcMar>
            <w:vAlign w:val="center"/>
          </w:tcPr>
          <w:p>
            <w:pPr>
              <w:spacing w:after="0" w:line="240" w:lineRule="auto"/>
            </w:pPr>
            <w:r>
              <w:rPr>
                <w:sz w:val="14"/>
              </w:rPr>
              <w:t>P0 8</w:t>
            </w:r>
          </w:p>
        </w:tc>
        <w:tc>
          <w:tcPr>
            <w:tcW w:type="dxa" w:w="2232"/>
            <w:shd w:fill="F3F6F9"/>
            <w:tcMar>
              <w:top w:w="90" w:type="dxa"/>
              <w:start w:w="100" w:type="dxa"/>
              <w:bottom w:w="90" w:type="dxa"/>
              <w:end w:w="100" w:type="dxa"/>
            </w:tcMar>
            <w:vAlign w:val="center"/>
          </w:tcPr>
          <w:p>
            <w:pPr>
              <w:spacing w:after="0" w:line="240" w:lineRule="auto"/>
            </w:pPr>
            <w:r>
              <w:rPr>
                <w:sz w:val="14"/>
              </w:rPr>
              <w:t>Cost preview is operator supplied, not truthful</w:t>
            </w:r>
          </w:p>
        </w:tc>
        <w:tc>
          <w:tcPr>
            <w:tcW w:type="dxa" w:w="3960"/>
            <w:shd w:fill="F3F6F9"/>
            <w:tcMar>
              <w:top w:w="90" w:type="dxa"/>
              <w:start w:w="100" w:type="dxa"/>
              <w:bottom w:w="90" w:type="dxa"/>
              <w:end w:w="100" w:type="dxa"/>
            </w:tcMar>
            <w:vAlign w:val="center"/>
          </w:tcPr>
          <w:p>
            <w:pPr>
              <w:spacing w:after="0" w:line="240" w:lineRule="auto"/>
            </w:pPr>
            <w:r>
              <w:rPr>
                <w:sz w:val="14"/>
              </w:rPr>
              <w:t>The run-scoped cost-preview route ignores runId and accepts arbitrary gap counts from query parameters. Paid-waterfall preview still marks OpenAI non-executable and no pre-cohort read-only preview exists.</w:t>
            </w:r>
          </w:p>
        </w:tc>
        <w:tc>
          <w:tcPr>
            <w:tcW w:type="dxa" w:w="3888"/>
            <w:shd w:fill="F3F6F9"/>
            <w:tcMar>
              <w:top w:w="90" w:type="dxa"/>
              <w:start w:w="100" w:type="dxa"/>
              <w:bottom w:w="90" w:type="dxa"/>
              <w:end w:w="100" w:type="dxa"/>
            </w:tcMar>
            <w:vAlign w:val="center"/>
          </w:tcPr>
          <w:p>
            <w:pPr>
              <w:spacing w:after="0" w:line="240" w:lineRule="auto"/>
            </w:pPr>
            <w:r>
              <w:rPr>
                <w:sz w:val="14"/>
              </w:rPr>
              <w:t>Derive counts from the selected program or frozen cohort and current evidence. Bind preview to a snapshot hash used by execution. Show estimated and worst-case provider units, current controls, cap headroom, and explicit blocked reasons.</w:t>
            </w:r>
          </w:p>
        </w:tc>
      </w:tr>
      <w:tr>
        <w:tc>
          <w:tcPr>
            <w:tcW w:type="dxa" w:w="864"/>
            <w:tcMar>
              <w:top w:w="90" w:type="dxa"/>
              <w:start w:w="100" w:type="dxa"/>
              <w:bottom w:w="90" w:type="dxa"/>
              <w:end w:w="100" w:type="dxa"/>
            </w:tcMar>
            <w:vAlign w:val="center"/>
          </w:tcPr>
          <w:p>
            <w:pPr>
              <w:spacing w:after="0" w:line="240" w:lineRule="auto"/>
            </w:pPr>
            <w:r>
              <w:rPr>
                <w:sz w:val="14"/>
              </w:rPr>
              <w:t>P0 9</w:t>
            </w:r>
          </w:p>
        </w:tc>
        <w:tc>
          <w:tcPr>
            <w:tcW w:type="dxa" w:w="2232"/>
            <w:tcMar>
              <w:top w:w="90" w:type="dxa"/>
              <w:start w:w="100" w:type="dxa"/>
              <w:bottom w:w="90" w:type="dxa"/>
              <w:end w:w="100" w:type="dxa"/>
            </w:tcMar>
            <w:vAlign w:val="center"/>
          </w:tcPr>
          <w:p>
            <w:pPr>
              <w:spacing w:after="0" w:line="240" w:lineRule="auto"/>
            </w:pPr>
            <w:r>
              <w:rPr>
                <w:sz w:val="14"/>
              </w:rPr>
              <w:t>Paid classification can target records later excluded</w:t>
            </w:r>
          </w:p>
        </w:tc>
        <w:tc>
          <w:tcPr>
            <w:tcW w:type="dxa" w:w="3960"/>
            <w:tcMar>
              <w:top w:w="90" w:type="dxa"/>
              <w:start w:w="100" w:type="dxa"/>
              <w:bottom w:w="90" w:type="dxa"/>
              <w:end w:w="100" w:type="dxa"/>
            </w:tcMar>
            <w:vAlign w:val="center"/>
          </w:tcPr>
          <w:p>
            <w:pPr>
              <w:spacing w:after="0" w:line="240" w:lineRule="auto"/>
            </w:pPr>
            <w:r>
              <w:rPr>
                <w:sz w:val="14"/>
              </w:rPr>
              <w:t>Phase A filters record_class and geography but does not apply canonical DBPR lineage, inactive-entity, existing-customer/relationship, or complete test/internal exclusions before Serper/OpenAI spend.</w:t>
            </w:r>
          </w:p>
        </w:tc>
        <w:tc>
          <w:tcPr>
            <w:tcW w:type="dxa" w:w="3888"/>
            <w:tcMar>
              <w:top w:w="90" w:type="dxa"/>
              <w:start w:w="100" w:type="dxa"/>
              <w:bottom w:w="90" w:type="dxa"/>
              <w:end w:w="100" w:type="dxa"/>
            </w:tcMar>
            <w:vAlign w:val="center"/>
          </w:tcPr>
          <w:p>
            <w:pPr>
              <w:spacing w:after="0" w:line="240" w:lineRule="auto"/>
            </w:pPr>
            <w:r>
              <w:rPr>
                <w:sz w:val="14"/>
              </w:rPr>
              <w:t>Reuse the exact #1998 eligibility/exclusion contract before provider admission. Persist one terminal skip reason per excluded business and prove no provider operation is created for it.</w:t>
            </w:r>
          </w:p>
        </w:tc>
      </w:tr>
      <w:tr>
        <w:tc>
          <w:tcPr>
            <w:tcW w:type="dxa" w:w="864"/>
            <w:shd w:fill="F3F6F9"/>
            <w:tcMar>
              <w:top w:w="90" w:type="dxa"/>
              <w:start w:w="100" w:type="dxa"/>
              <w:bottom w:w="90" w:type="dxa"/>
              <w:end w:w="100" w:type="dxa"/>
            </w:tcMar>
            <w:vAlign w:val="center"/>
          </w:tcPr>
          <w:p>
            <w:pPr>
              <w:spacing w:after="0" w:line="240" w:lineRule="auto"/>
            </w:pPr>
            <w:r>
              <w:rPr>
                <w:sz w:val="14"/>
              </w:rPr>
              <w:t>P0 10</w:t>
            </w:r>
          </w:p>
        </w:tc>
        <w:tc>
          <w:tcPr>
            <w:tcW w:type="dxa" w:w="2232"/>
            <w:shd w:fill="F3F6F9"/>
            <w:tcMar>
              <w:top w:w="90" w:type="dxa"/>
              <w:start w:w="100" w:type="dxa"/>
              <w:bottom w:w="90" w:type="dxa"/>
              <w:end w:w="100" w:type="dxa"/>
            </w:tcMar>
            <w:vAlign w:val="center"/>
          </w:tcPr>
          <w:p>
            <w:pPr>
              <w:spacing w:after="0" w:line="240" w:lineRule="auto"/>
            </w:pPr>
            <w:r>
              <w:rPr>
                <w:sz w:val="14"/>
              </w:rPr>
              <w:t>Evidence settlement is not atomic or immutable</w:t>
            </w:r>
          </w:p>
        </w:tc>
        <w:tc>
          <w:tcPr>
            <w:tcW w:type="dxa" w:w="3960"/>
            <w:shd w:fill="F3F6F9"/>
            <w:tcMar>
              <w:top w:w="90" w:type="dxa"/>
              <w:start w:w="100" w:type="dxa"/>
              <w:bottom w:w="90" w:type="dxa"/>
              <w:end w:w="100" w:type="dxa"/>
            </w:tcMar>
            <w:vAlign w:val="center"/>
          </w:tcPr>
          <w:p>
            <w:pPr>
              <w:spacing w:after="0" w:line="240" w:lineRule="auto"/>
            </w:pPr>
            <w:r>
              <w:rPr>
                <w:sz w:val="14"/>
              </w:rPr>
              <w:t>Apollo/Outscraper evidence insert, provider settlement, and stage-item link are separate transactions. A failure can orphan evidence or settlement. Evidence tables have no database immutability triggers; the paid writer uses ON CONFLICT DO UPDATE.</w:t>
            </w:r>
          </w:p>
        </w:tc>
        <w:tc>
          <w:tcPr>
            <w:tcW w:type="dxa" w:w="3888"/>
            <w:shd w:fill="F3F6F9"/>
            <w:tcMar>
              <w:top w:w="90" w:type="dxa"/>
              <w:start w:w="100" w:type="dxa"/>
              <w:bottom w:w="90" w:type="dxa"/>
              <w:end w:w="100" w:type="dxa"/>
            </w:tcMar>
            <w:vAlign w:val="center"/>
          </w:tcPr>
          <w:p>
            <w:pPr>
              <w:spacing w:after="0" w:line="240" w:lineRule="auto"/>
            </w:pPr>
            <w:r>
              <w:rPr>
                <w:sz w:val="14"/>
              </w:rPr>
              <w:t>Commit evidence, settlement, and stage linkage atomically or via a durable reconciler with explicit states. Add DB triggers preventing UPDATE/DELETE of terminal classification and paid-candidate evidence; use insert-only observations.</w:t>
            </w:r>
          </w:p>
        </w:tc>
      </w:tr>
      <w:tr>
        <w:tc>
          <w:tcPr>
            <w:tcW w:type="dxa" w:w="864"/>
            <w:tcMar>
              <w:top w:w="90" w:type="dxa"/>
              <w:start w:w="100" w:type="dxa"/>
              <w:bottom w:w="90" w:type="dxa"/>
              <w:end w:w="100" w:type="dxa"/>
            </w:tcMar>
            <w:vAlign w:val="center"/>
          </w:tcPr>
          <w:p>
            <w:pPr>
              <w:spacing w:after="0" w:line="240" w:lineRule="auto"/>
            </w:pPr>
            <w:r>
              <w:rPr>
                <w:sz w:val="14"/>
              </w:rPr>
              <w:t>P0 11</w:t>
            </w:r>
          </w:p>
        </w:tc>
        <w:tc>
          <w:tcPr>
            <w:tcW w:type="dxa" w:w="2232"/>
            <w:tcMar>
              <w:top w:w="90" w:type="dxa"/>
              <w:start w:w="100" w:type="dxa"/>
              <w:bottom w:w="90" w:type="dxa"/>
              <w:end w:w="100" w:type="dxa"/>
            </w:tcMar>
            <w:vAlign w:val="center"/>
          </w:tcPr>
          <w:p>
            <w:pPr>
              <w:spacing w:after="0" w:line="240" w:lineRule="auto"/>
            </w:pPr>
            <w:r>
              <w:rPr>
                <w:sz w:val="14"/>
              </w:rPr>
              <w:t>No Lead Ops workflow or recurring control shipped</w:t>
            </w:r>
          </w:p>
        </w:tc>
        <w:tc>
          <w:tcPr>
            <w:tcW w:type="dxa" w:w="3960"/>
            <w:tcMar>
              <w:top w:w="90" w:type="dxa"/>
              <w:start w:w="100" w:type="dxa"/>
              <w:bottom w:w="90" w:type="dxa"/>
              <w:end w:w="100" w:type="dxa"/>
            </w:tcMar>
            <w:vAlign w:val="center"/>
          </w:tcPr>
          <w:p>
            <w:pPr>
              <w:spacing w:after="0" w:line="240" w:lineRule="auto"/>
            </w:pPr>
            <w:r>
              <w:rPr>
                <w:sz w:val="14"/>
              </w:rPr>
              <w:t>No client file changed. The existing panel still says Serper only and exposes only the Serper button. There is no Phase A preview/run UI, Apollo/Outscraper action, truthful cost preview, vector display, or separately gated recurring toggle.</w:t>
            </w:r>
          </w:p>
        </w:tc>
        <w:tc>
          <w:tcPr>
            <w:tcW w:type="dxa" w:w="3888"/>
            <w:tcMar>
              <w:top w:w="90" w:type="dxa"/>
              <w:start w:w="100" w:type="dxa"/>
              <w:bottom w:w="90" w:type="dxa"/>
              <w:end w:w="100" w:type="dxa"/>
            </w:tcMar>
            <w:vAlign w:val="center"/>
          </w:tcPr>
          <w:p>
            <w:pPr>
              <w:spacing w:after="0" w:line="240" w:lineRule="auto"/>
            </w:pPr>
            <w:r>
              <w:rPr>
                <w:sz w:val="14"/>
              </w:rPr>
              <w:t>Implement the bounded manual workflow in SouthFloridaProspectingPanel, with preview before authorization, idempotency keys, progress, errors, provider controls, and default-off recurring authorization. Do not activate recurrence during implementation.</w:t>
            </w:r>
          </w:p>
        </w:tc>
      </w:tr>
      <w:tr>
        <w:tc>
          <w:tcPr>
            <w:tcW w:type="dxa" w:w="864"/>
            <w:shd w:fill="F3F6F9"/>
            <w:tcMar>
              <w:top w:w="90" w:type="dxa"/>
              <w:start w:w="100" w:type="dxa"/>
              <w:bottom w:w="90" w:type="dxa"/>
              <w:end w:w="100" w:type="dxa"/>
            </w:tcMar>
            <w:vAlign w:val="center"/>
          </w:tcPr>
          <w:p>
            <w:pPr>
              <w:spacing w:after="0" w:line="240" w:lineRule="auto"/>
            </w:pPr>
            <w:r>
              <w:rPr>
                <w:sz w:val="14"/>
              </w:rPr>
              <w:t>P0 12</w:t>
            </w:r>
          </w:p>
        </w:tc>
        <w:tc>
          <w:tcPr>
            <w:tcW w:type="dxa" w:w="2232"/>
            <w:shd w:fill="F3F6F9"/>
            <w:tcMar>
              <w:top w:w="90" w:type="dxa"/>
              <w:start w:w="100" w:type="dxa"/>
              <w:bottom w:w="90" w:type="dxa"/>
              <w:end w:w="100" w:type="dxa"/>
            </w:tcMar>
            <w:vAlign w:val="center"/>
          </w:tcPr>
          <w:p>
            <w:pPr>
              <w:spacing w:after="0" w:line="240" w:lineRule="auto"/>
            </w:pPr>
            <w:r>
              <w:rPr>
                <w:sz w:val="14"/>
              </w:rPr>
              <w:t>Paid candidates stop before validation</w:t>
            </w:r>
          </w:p>
        </w:tc>
        <w:tc>
          <w:tcPr>
            <w:tcW w:type="dxa" w:w="3960"/>
            <w:shd w:fill="F3F6F9"/>
            <w:tcMar>
              <w:top w:w="90" w:type="dxa"/>
              <w:start w:w="100" w:type="dxa"/>
              <w:bottom w:w="90" w:type="dxa"/>
              <w:end w:w="100" w:type="dxa"/>
            </w:tcMar>
            <w:vAlign w:val="center"/>
          </w:tcPr>
          <w:p>
            <w:pPr>
              <w:spacing w:after="0" w:line="240" w:lineRule="auto"/>
            </w:pPr>
            <w:r>
              <w:rPr>
                <w:sz w:val="14"/>
              </w:rPr>
              <w:t>The new unified candidate endpoint can read paid evidence, but sfp-validation.ts and sfp_outreach_eligibility still accept only free_discovery_candidates IDs. Task 2000 cannot consume Apollo emails without another contract change.</w:t>
            </w:r>
          </w:p>
        </w:tc>
        <w:tc>
          <w:tcPr>
            <w:tcW w:type="dxa" w:w="3888"/>
            <w:shd w:fill="F3F6F9"/>
            <w:tcMar>
              <w:top w:w="90" w:type="dxa"/>
              <w:start w:w="100" w:type="dxa"/>
              <w:bottom w:w="90" w:type="dxa"/>
              <w:end w:w="100" w:type="dxa"/>
            </w:tcMar>
            <w:vAlign w:val="center"/>
          </w:tcPr>
          <w:p>
            <w:pPr>
              <w:spacing w:after="0" w:line="240" w:lineRule="auto"/>
            </w:pPr>
            <w:r>
              <w:rPr>
                <w:sz w:val="14"/>
              </w:rPr>
              <w:t>Define a typed candidate source discriminator and evidence reference that supports free and paid rows without fabricated FKs. Update Task 2000 plan now; do not add ZeroBounce calls to Task 1999.</w:t>
            </w:r>
          </w:p>
        </w:tc>
      </w:tr>
      <w:tr>
        <w:tc>
          <w:tcPr>
            <w:tcW w:type="dxa" w:w="864"/>
            <w:tcMar>
              <w:top w:w="90" w:type="dxa"/>
              <w:start w:w="100" w:type="dxa"/>
              <w:bottom w:w="90" w:type="dxa"/>
              <w:end w:w="100" w:type="dxa"/>
            </w:tcMar>
            <w:vAlign w:val="center"/>
          </w:tcPr>
          <w:p>
            <w:pPr>
              <w:spacing w:after="0" w:line="240" w:lineRule="auto"/>
            </w:pPr>
            <w:r>
              <w:rPr>
                <w:sz w:val="14"/>
              </w:rPr>
              <w:t>P1 13</w:t>
            </w:r>
          </w:p>
        </w:tc>
        <w:tc>
          <w:tcPr>
            <w:tcW w:type="dxa" w:w="2232"/>
            <w:tcMar>
              <w:top w:w="90" w:type="dxa"/>
              <w:start w:w="100" w:type="dxa"/>
              <w:bottom w:w="90" w:type="dxa"/>
              <w:end w:w="100" w:type="dxa"/>
            </w:tcMar>
            <w:vAlign w:val="center"/>
          </w:tcPr>
          <w:p>
            <w:pPr>
              <w:spacing w:after="0" w:line="240" w:lineRule="auto"/>
            </w:pPr>
            <w:r>
              <w:rPr>
                <w:sz w:val="14"/>
              </w:rPr>
              <w:t>Ranking favors cost over evidence quality</w:t>
            </w:r>
          </w:p>
        </w:tc>
        <w:tc>
          <w:tcPr>
            <w:tcW w:type="dxa" w:w="3960"/>
            <w:tcMar>
              <w:top w:w="90" w:type="dxa"/>
              <w:start w:w="100" w:type="dxa"/>
              <w:bottom w:w="90" w:type="dxa"/>
              <w:end w:w="100" w:type="dxa"/>
            </w:tcMar>
            <w:vAlign w:val="center"/>
          </w:tcPr>
          <w:p>
            <w:pPr>
              <w:spacing w:after="0" w:line="240" w:lineRule="auto"/>
            </w:pPr>
            <w:r>
              <w:rPr>
                <w:sz w:val="14"/>
              </w:rPr>
              <w:t>getUnifiedSfpCandidates always ranks paid rows before free rows, explicitly because they cost more, rather than using candidate-selector tiers, authority, corroboration, subject type, and confidence.</w:t>
            </w:r>
          </w:p>
        </w:tc>
        <w:tc>
          <w:tcPr>
            <w:tcW w:type="dxa" w:w="3888"/>
            <w:tcMar>
              <w:top w:w="90" w:type="dxa"/>
              <w:start w:w="100" w:type="dxa"/>
              <w:bottom w:w="90" w:type="dxa"/>
              <w:end w:w="100" w:type="dxa"/>
            </w:tcMar>
            <w:vAlign w:val="center"/>
          </w:tcPr>
          <w:p>
            <w:pPr>
              <w:spacing w:after="0" w:line="240" w:lineRule="auto"/>
            </w:pPr>
            <w:r>
              <w:rPr>
                <w:sz w:val="14"/>
              </w:rPr>
              <w:t>Reuse the canonical tier model. Preserve every observation but choose the actionable winner by evidence quality; cost is telemetry, not proof.</w:t>
            </w:r>
          </w:p>
        </w:tc>
      </w:tr>
      <w:tr>
        <w:tc>
          <w:tcPr>
            <w:tcW w:type="dxa" w:w="864"/>
            <w:shd w:fill="F3F6F9"/>
            <w:tcMar>
              <w:top w:w="90" w:type="dxa"/>
              <w:start w:w="100" w:type="dxa"/>
              <w:bottom w:w="90" w:type="dxa"/>
              <w:end w:w="100" w:type="dxa"/>
            </w:tcMar>
            <w:vAlign w:val="center"/>
          </w:tcPr>
          <w:p>
            <w:pPr>
              <w:spacing w:after="0" w:line="240" w:lineRule="auto"/>
            </w:pPr>
            <w:r>
              <w:rPr>
                <w:sz w:val="14"/>
              </w:rPr>
              <w:t>P1 14</w:t>
            </w:r>
          </w:p>
        </w:tc>
        <w:tc>
          <w:tcPr>
            <w:tcW w:type="dxa" w:w="2232"/>
            <w:shd w:fill="F3F6F9"/>
            <w:tcMar>
              <w:top w:w="90" w:type="dxa"/>
              <w:start w:w="100" w:type="dxa"/>
              <w:bottom w:w="90" w:type="dxa"/>
              <w:end w:w="100" w:type="dxa"/>
            </w:tcMar>
            <w:vAlign w:val="center"/>
          </w:tcPr>
          <w:p>
            <w:pPr>
              <w:spacing w:after="0" w:line="240" w:lineRule="auto"/>
            </w:pPr>
            <w:r>
              <w:rPr>
                <w:sz w:val="14"/>
              </w:rPr>
              <w:t>OpenAI path is not the cheap configured stage</w:t>
            </w:r>
          </w:p>
        </w:tc>
        <w:tc>
          <w:tcPr>
            <w:tcW w:type="dxa" w:w="3960"/>
            <w:shd w:fill="F3F6F9"/>
            <w:tcMar>
              <w:top w:w="90" w:type="dxa"/>
              <w:start w:w="100" w:type="dxa"/>
              <w:bottom w:w="90" w:type="dxa"/>
              <w:end w:w="100" w:type="dxa"/>
            </w:tcMar>
            <w:vAlign w:val="center"/>
          </w:tcPr>
          <w:p>
            <w:pPr>
              <w:spacing w:after="0" w:line="240" w:lineRule="auto"/>
            </w:pPr>
            <w:r>
              <w:rPr>
                <w:sz w:val="14"/>
              </w:rPr>
              <w:t>The classification bridge hardcodes gpt-5 even though the task requires an inexpensive configured model and the repository already has a fast-model configuration.</w:t>
            </w:r>
          </w:p>
        </w:tc>
        <w:tc>
          <w:tcPr>
            <w:tcW w:type="dxa" w:w="3888"/>
            <w:shd w:fill="F3F6F9"/>
            <w:tcMar>
              <w:top w:w="90" w:type="dxa"/>
              <w:start w:w="100" w:type="dxa"/>
              <w:bottom w:w="90" w:type="dxa"/>
              <w:end w:w="100" w:type="dxa"/>
            </w:tcMar>
            <w:vAlign w:val="center"/>
          </w:tcPr>
          <w:p>
            <w:pPr>
              <w:spacing w:after="0" w:line="240" w:lineRule="auto"/>
            </w:pPr>
            <w:r>
              <w:rPr>
                <w:sz w:val="14"/>
              </w:rPr>
              <w:t>Use the configured low-cost classification model, pin model and prompt versions in the config hash, and ensure the active pricing artifact matches the actual model and token semantics.</w:t>
            </w:r>
          </w:p>
        </w:tc>
      </w:tr>
      <w:tr>
        <w:tc>
          <w:tcPr>
            <w:tcW w:type="dxa" w:w="864"/>
            <w:tcMar>
              <w:top w:w="90" w:type="dxa"/>
              <w:start w:w="100" w:type="dxa"/>
              <w:bottom w:w="90" w:type="dxa"/>
              <w:end w:w="100" w:type="dxa"/>
            </w:tcMar>
            <w:vAlign w:val="center"/>
          </w:tcPr>
          <w:p>
            <w:pPr>
              <w:spacing w:after="0" w:line="240" w:lineRule="auto"/>
            </w:pPr>
            <w:r>
              <w:rPr>
                <w:sz w:val="14"/>
              </w:rPr>
              <w:t>P1 15</w:t>
            </w:r>
          </w:p>
        </w:tc>
        <w:tc>
          <w:tcPr>
            <w:tcW w:type="dxa" w:w="2232"/>
            <w:tcMar>
              <w:top w:w="90" w:type="dxa"/>
              <w:start w:w="100" w:type="dxa"/>
              <w:bottom w:w="90" w:type="dxa"/>
              <w:end w:w="100" w:type="dxa"/>
            </w:tcMar>
            <w:vAlign w:val="center"/>
          </w:tcPr>
          <w:p>
            <w:pPr>
              <w:spacing w:after="0" w:line="240" w:lineRule="auto"/>
            </w:pPr>
            <w:r>
              <w:rPr>
                <w:sz w:val="14"/>
              </w:rPr>
              <w:t>Certification is not in the mandatory gate</w:t>
            </w:r>
          </w:p>
        </w:tc>
        <w:tc>
          <w:tcPr>
            <w:tcW w:type="dxa" w:w="3960"/>
            <w:tcMar>
              <w:top w:w="90" w:type="dxa"/>
              <w:start w:w="100" w:type="dxa"/>
              <w:bottom w:w="90" w:type="dxa"/>
              <w:end w:w="100" w:type="dxa"/>
            </w:tcMar>
            <w:vAlign w:val="center"/>
          </w:tcPr>
          <w:p>
            <w:pPr>
              <w:spacing w:after="0" w:line="240" w:lineRule="auto"/>
            </w:pPr>
            <w:r>
              <w:rPr>
                <w:sz w:val="14"/>
              </w:rPr>
              <w:t>The merge adds multiple Task 1999 tests, but scripts/ci-suite-manifest.ts and scripts/pre-deploy.ts were not changed. Important cases are also absent: DBPR no-call, concurrent same-key, cap race, divergent replay, atomic linkage, UI, and Task 2000 handoff.</w:t>
            </w:r>
          </w:p>
        </w:tc>
        <w:tc>
          <w:tcPr>
            <w:tcW w:type="dxa" w:w="3888"/>
            <w:tcMar>
              <w:top w:w="90" w:type="dxa"/>
              <w:start w:w="100" w:type="dxa"/>
              <w:bottom w:w="90" w:type="dxa"/>
              <w:end w:w="100" w:type="dxa"/>
            </w:tcMar>
            <w:vAlign w:val="center"/>
          </w:tcPr>
          <w:p>
            <w:pPr>
              <w:spacing w:after="0" w:line="240" w:lineRule="auto"/>
            </w:pPr>
            <w:r>
              <w:rPr>
                <w:sz w:val="14"/>
              </w:rPr>
              <w:t>Add one disposable-Postgres certification covering the complete contract and register it in both mandatory gate files. Keep all HTTP and provider transports fake.</w:t>
            </w:r>
          </w:p>
        </w:tc>
      </w:tr>
      <w:tr>
        <w:tc>
          <w:tcPr>
            <w:tcW w:type="dxa" w:w="864"/>
            <w:shd w:fill="F3F6F9"/>
            <w:tcMar>
              <w:top w:w="90" w:type="dxa"/>
              <w:start w:w="100" w:type="dxa"/>
              <w:bottom w:w="90" w:type="dxa"/>
              <w:end w:w="100" w:type="dxa"/>
            </w:tcMar>
            <w:vAlign w:val="center"/>
          </w:tcPr>
          <w:p>
            <w:pPr>
              <w:spacing w:after="0" w:line="240" w:lineRule="auto"/>
            </w:pPr>
            <w:r>
              <w:rPr>
                <w:sz w:val="14"/>
              </w:rPr>
              <w:t>P2 16</w:t>
            </w:r>
          </w:p>
        </w:tc>
        <w:tc>
          <w:tcPr>
            <w:tcW w:type="dxa" w:w="2232"/>
            <w:shd w:fill="F3F6F9"/>
            <w:tcMar>
              <w:top w:w="90" w:type="dxa"/>
              <w:start w:w="100" w:type="dxa"/>
              <w:bottom w:w="90" w:type="dxa"/>
              <w:end w:w="100" w:type="dxa"/>
            </w:tcMar>
            <w:vAlign w:val="center"/>
          </w:tcPr>
          <w:p>
            <w:pPr>
              <w:spacing w:after="0" w:line="240" w:lineRule="auto"/>
            </w:pPr>
            <w:r>
              <w:rPr>
                <w:sz w:val="14"/>
              </w:rPr>
              <w:t>Unrelated files contaminated the merge</w:t>
            </w:r>
          </w:p>
        </w:tc>
        <w:tc>
          <w:tcPr>
            <w:tcW w:type="dxa" w:w="3960"/>
            <w:shd w:fill="F3F6F9"/>
            <w:tcMar>
              <w:top w:w="90" w:type="dxa"/>
              <w:start w:w="100" w:type="dxa"/>
              <w:bottom w:w="90" w:type="dxa"/>
              <w:end w:w="100" w:type="dxa"/>
            </w:tcMar>
            <w:vAlign w:val="center"/>
          </w:tcPr>
          <w:p>
            <w:pPr>
              <w:spacing w:after="0" w:line="240" w:lineRule="auto"/>
            </w:pPr>
            <w:r>
              <w:rPr>
                <w:sz w:val="14"/>
              </w:rPr>
              <w:t>Two image assets and agent memory files are included in the task diff without a runtime requirement.</w:t>
            </w:r>
          </w:p>
        </w:tc>
        <w:tc>
          <w:tcPr>
            <w:tcW w:type="dxa" w:w="3888"/>
            <w:shd w:fill="F3F6F9"/>
            <w:tcMar>
              <w:top w:w="90" w:type="dxa"/>
              <w:start w:w="100" w:type="dxa"/>
              <w:bottom w:w="90" w:type="dxa"/>
              <w:end w:w="100" w:type="dxa"/>
            </w:tcMar>
            <w:vAlign w:val="center"/>
          </w:tcPr>
          <w:p>
            <w:pPr>
              <w:spacing w:after="0" w:line="240" w:lineRule="auto"/>
            </w:pPr>
            <w:r>
              <w:rPr>
                <w:sz w:val="14"/>
              </w:rPr>
              <w:t>Remove unrelated assets from the correction branch unless they are independently required and documented.</w:t>
            </w:r>
          </w:p>
        </w:tc>
      </w:tr>
    </w:tbl>
    <w:p>
      <w:pPr>
        <w:widowControl/>
        <w:spacing w:after="20"/>
      </w:pPr>
    </w:p>
    <w:p>
      <w:pPr>
        <w:pStyle w:val="Heading1"/>
        <w:keepNext/>
        <w:widowControl/>
      </w:pPr>
      <w:r>
        <w:t>4 What the Merge Correctly Delivered</w:t>
      </w:r>
    </w:p>
    <w:p>
      <w:pPr>
        <w:pStyle w:val="ListBullet"/>
        <w:widowControl/>
        <w:spacing w:after="40" w:line="252" w:lineRule="auto"/>
      </w:pPr>
      <w:r>
        <w:t>A journaled additive migration for SFP classification evidence and paid candidate evidence.</w:t>
      </w:r>
    </w:p>
    <w:p>
      <w:pPr>
        <w:pStyle w:val="ListBullet"/>
        <w:widowControl/>
        <w:spacing w:after="40" w:line="252" w:lineRule="auto"/>
      </w:pPr>
      <w:r>
        <w:t>Physical separation between free_discovery_candidates, sfp_paid_candidate_evidence, and CRO-03C generation evidence.</w:t>
      </w:r>
    </w:p>
    <w:p>
      <w:pPr>
        <w:pStyle w:val="ListBullet"/>
        <w:widowControl/>
        <w:spacing w:after="40" w:line="252" w:lineRule="auto"/>
      </w:pPr>
      <w:r>
        <w:t>Encrypted-at-rest paid candidate values with masked read projections.</w:t>
      </w:r>
    </w:p>
    <w:p>
      <w:pPr>
        <w:pStyle w:val="ListBullet"/>
        <w:widowControl/>
        <w:spacing w:after="40" w:line="252" w:lineRule="auto"/>
      </w:pPr>
      <w:r>
        <w:t>Provider-manifest admission for the extracted Apollo, Outscraper, and OpenAI adapters.</w:t>
      </w:r>
    </w:p>
    <w:p>
      <w:pPr>
        <w:pStyle w:val="ListBullet"/>
        <w:widowControl/>
        <w:spacing w:after="40" w:line="252" w:lineRule="auto"/>
      </w:pPr>
      <w:r>
        <w:t>A current verified-contact predicate requiring decision=verified, superseded_at IS NULL, and a consistent contacts.business_id.</w:t>
      </w:r>
    </w:p>
    <w:p>
      <w:pPr>
        <w:pStyle w:val="ListBullet"/>
        <w:widowControl/>
        <w:spacing w:after="40" w:line="252" w:lineRule="auto"/>
      </w:pPr>
      <w:r>
        <w:t>A safer website evidence extractor with bounded body reads and private-target blocking.</w:t>
      </w:r>
    </w:p>
    <w:p>
      <w:pPr>
        <w:pStyle w:val="ListBullet"/>
        <w:widowControl/>
        <w:spacing w:after="40" w:line="252" w:lineRule="auto"/>
      </w:pPr>
      <w:r>
        <w:t>A real BullMQ-derived nextRunAt and separate queue-registration and worker-running status.</w:t>
      </w:r>
    </w:p>
    <w:p>
      <w:pPr>
        <w:pStyle w:val="ListBullet"/>
        <w:widowControl/>
        <w:spacing w:after="40" w:line="252" w:lineRule="auto"/>
      </w:pPr>
      <w:r>
        <w:t>Admin role guards on the newly added routes.</w:t>
      </w:r>
    </w:p>
    <w:p>
      <w:pPr>
        <w:widowControl/>
        <w:spacing w:after="100" w:line="259" w:lineRule="auto"/>
      </w:pPr>
      <w:r>
        <w:t>These should be preserved. The correction is a consolidation pass, not a rewrite of working pieces.</w:t>
      </w:r>
    </w:p>
    <w:p>
      <w:pPr>
        <w:pStyle w:val="Heading1"/>
        <w:keepNext/>
        <w:widowControl/>
      </w:pPr>
      <w:r>
        <w:t>5 Required Completion and Test Matrix</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016"/>
            <w:shd w:fill="173A5E"/>
            <w:vAlign w:val="center"/>
            <w:tcMar>
              <w:top w:w="90" w:type="dxa"/>
              <w:start w:w="100" w:type="dxa"/>
              <w:bottom w:w="90" w:type="dxa"/>
              <w:end w:w="100" w:type="dxa"/>
            </w:tcMar>
          </w:tcPr>
          <w:p>
            <w:pPr>
              <w:jc w:val="center"/>
            </w:pPr>
            <w:r>
              <w:rPr>
                <w:b/>
                <w:color w:val="FFFFFF"/>
                <w:sz w:val="16"/>
              </w:rPr>
              <w:t>Proof</w:t>
            </w:r>
          </w:p>
        </w:tc>
        <w:tc>
          <w:tcPr>
            <w:tcW w:type="dxa" w:w="8928"/>
            <w:shd w:fill="173A5E"/>
            <w:vAlign w:val="center"/>
            <w:tcMar>
              <w:top w:w="90" w:type="dxa"/>
              <w:start w:w="100" w:type="dxa"/>
              <w:bottom w:w="90" w:type="dxa"/>
              <w:end w:w="100" w:type="dxa"/>
            </w:tcMar>
          </w:tcPr>
          <w:p>
            <w:pPr>
              <w:jc w:val="center"/>
            </w:pPr>
            <w:r>
              <w:rPr>
                <w:b/>
                <w:color w:val="FFFFFF"/>
                <w:sz w:val="16"/>
              </w:rPr>
              <w:t>Required deterministic result</w:t>
            </w:r>
          </w:p>
        </w:tc>
      </w:tr>
      <w:tr>
        <w:tc>
          <w:tcPr>
            <w:tcW w:type="dxa" w:w="2016"/>
            <w:tcMar>
              <w:top w:w="90" w:type="dxa"/>
              <w:start w:w="100" w:type="dxa"/>
              <w:bottom w:w="90" w:type="dxa"/>
              <w:end w:w="100" w:type="dxa"/>
            </w:tcMar>
            <w:vAlign w:val="center"/>
          </w:tcPr>
          <w:p>
            <w:pPr>
              <w:spacing w:after="0" w:line="240" w:lineRule="auto"/>
            </w:pPr>
            <w:r>
              <w:rPr>
                <w:sz w:val="16"/>
              </w:rPr>
              <w:t>Cohort bridge</w:t>
            </w:r>
          </w:p>
        </w:tc>
        <w:tc>
          <w:tcPr>
            <w:tcW w:type="dxa" w:w="8928"/>
            <w:tcMar>
              <w:top w:w="90" w:type="dxa"/>
              <w:start w:w="100" w:type="dxa"/>
              <w:bottom w:w="90" w:type="dxa"/>
              <w:end w:w="100" w:type="dxa"/>
            </w:tcMar>
            <w:vAlign w:val="center"/>
          </w:tcPr>
          <w:p>
            <w:pPr>
              <w:spacing w:after="0" w:line="240" w:lineRule="auto"/>
            </w:pPr>
            <w:r>
              <w:rPr>
                <w:sz w:val="16"/>
              </w:rPr>
              <w:t>A raw-vertical-unresolved South Florida fixture classified target becomes eligible; non-target and review-required do not. The exact evidence row is frozen and hashed.</w:t>
            </w:r>
          </w:p>
        </w:tc>
      </w:tr>
      <w:tr>
        <w:tc>
          <w:tcPr>
            <w:tcW w:type="dxa" w:w="2016"/>
            <w:shd w:fill="F3F6F9"/>
            <w:tcMar>
              <w:top w:w="90" w:type="dxa"/>
              <w:start w:w="100" w:type="dxa"/>
              <w:bottom w:w="90" w:type="dxa"/>
              <w:end w:w="100" w:type="dxa"/>
            </w:tcMar>
            <w:vAlign w:val="center"/>
          </w:tcPr>
          <w:p>
            <w:pPr>
              <w:spacing w:after="0" w:line="240" w:lineRule="auto"/>
            </w:pPr>
            <w:r>
              <w:rPr>
                <w:sz w:val="16"/>
              </w:rPr>
              <w:t>Exclusions</w:t>
            </w:r>
          </w:p>
        </w:tc>
        <w:tc>
          <w:tcPr>
            <w:tcW w:type="dxa" w:w="8928"/>
            <w:shd w:fill="F3F6F9"/>
            <w:tcMar>
              <w:top w:w="90" w:type="dxa"/>
              <w:start w:w="100" w:type="dxa"/>
              <w:bottom w:w="90" w:type="dxa"/>
              <w:end w:w="100" w:type="dxa"/>
            </w:tcMar>
            <w:vAlign w:val="center"/>
          </w:tcPr>
          <w:p>
            <w:pPr>
              <w:spacing w:after="0" w:line="240" w:lineRule="auto"/>
            </w:pPr>
            <w:r>
              <w:rPr>
                <w:sz w:val="16"/>
              </w:rPr>
              <w:t>DBPR, inactive, existing-customer, internal/test/demo, and authoritative business-wide exclusions produce no provider operation.</w:t>
            </w:r>
          </w:p>
        </w:tc>
      </w:tr>
      <w:tr>
        <w:tc>
          <w:tcPr>
            <w:tcW w:type="dxa" w:w="2016"/>
            <w:tcMar>
              <w:top w:w="90" w:type="dxa"/>
              <w:start w:w="100" w:type="dxa"/>
              <w:bottom w:w="90" w:type="dxa"/>
              <w:end w:w="100" w:type="dxa"/>
            </w:tcMar>
            <w:vAlign w:val="center"/>
          </w:tcPr>
          <w:p>
            <w:pPr>
              <w:spacing w:after="0" w:line="240" w:lineRule="auto"/>
            </w:pPr>
            <w:r>
              <w:rPr>
                <w:sz w:val="16"/>
              </w:rPr>
              <w:t>Same-key concurrency</w:t>
            </w:r>
          </w:p>
        </w:tc>
        <w:tc>
          <w:tcPr>
            <w:tcW w:type="dxa" w:w="8928"/>
            <w:tcMar>
              <w:top w:w="90" w:type="dxa"/>
              <w:start w:w="100" w:type="dxa"/>
              <w:bottom w:w="90" w:type="dxa"/>
              <w:end w:w="100" w:type="dxa"/>
            </w:tcMar>
            <w:vAlign w:val="center"/>
          </w:tcPr>
          <w:p>
            <w:pPr>
              <w:spacing w:after="0" w:line="240" w:lineRule="auto"/>
            </w:pPr>
            <w:r>
              <w:rPr>
                <w:sz w:val="16"/>
              </w:rPr>
              <w:t>Two concurrent requests produce one item claim and at most one fake provider call.</w:t>
            </w:r>
          </w:p>
        </w:tc>
      </w:tr>
      <w:tr>
        <w:tc>
          <w:tcPr>
            <w:tcW w:type="dxa" w:w="2016"/>
            <w:shd w:fill="F3F6F9"/>
            <w:tcMar>
              <w:top w:w="90" w:type="dxa"/>
              <w:start w:w="100" w:type="dxa"/>
              <w:bottom w:w="90" w:type="dxa"/>
              <w:end w:w="100" w:type="dxa"/>
            </w:tcMar>
            <w:vAlign w:val="center"/>
          </w:tcPr>
          <w:p>
            <w:pPr>
              <w:spacing w:after="0" w:line="240" w:lineRule="auto"/>
            </w:pPr>
            <w:r>
              <w:rPr>
                <w:sz w:val="16"/>
              </w:rPr>
              <w:t>Cap race</w:t>
            </w:r>
          </w:p>
        </w:tc>
        <w:tc>
          <w:tcPr>
            <w:tcW w:type="dxa" w:w="8928"/>
            <w:shd w:fill="F3F6F9"/>
            <w:tcMar>
              <w:top w:w="90" w:type="dxa"/>
              <w:start w:w="100" w:type="dxa"/>
              <w:bottom w:w="90" w:type="dxa"/>
              <w:end w:w="100" w:type="dxa"/>
            </w:tcMar>
            <w:vAlign w:val="center"/>
          </w:tcPr>
          <w:p>
            <w:pPr>
              <w:spacing w:after="0" w:line="240" w:lineRule="auto"/>
            </w:pPr>
            <w:r>
              <w:rPr>
                <w:sz w:val="16"/>
              </w:rPr>
              <w:t>Concurrent Phase A and frozen-cohort reservations cannot commit more than the shared $50 cap.</w:t>
            </w:r>
          </w:p>
        </w:tc>
      </w:tr>
      <w:tr>
        <w:tc>
          <w:tcPr>
            <w:tcW w:type="dxa" w:w="2016"/>
            <w:tcMar>
              <w:top w:w="90" w:type="dxa"/>
              <w:start w:w="100" w:type="dxa"/>
              <w:bottom w:w="90" w:type="dxa"/>
              <w:end w:w="100" w:type="dxa"/>
            </w:tcMar>
            <w:vAlign w:val="center"/>
          </w:tcPr>
          <w:p>
            <w:pPr>
              <w:spacing w:after="0" w:line="240" w:lineRule="auto"/>
            </w:pPr>
            <w:r>
              <w:rPr>
                <w:sz w:val="16"/>
              </w:rPr>
              <w:t>Final gate</w:t>
            </w:r>
          </w:p>
        </w:tc>
        <w:tc>
          <w:tcPr>
            <w:tcW w:type="dxa" w:w="8928"/>
            <w:tcMar>
              <w:top w:w="90" w:type="dxa"/>
              <w:start w:w="100" w:type="dxa"/>
              <w:bottom w:w="90" w:type="dxa"/>
              <w:end w:w="100" w:type="dxa"/>
            </w:tcMar>
            <w:vAlign w:val="center"/>
          </w:tcPr>
          <w:p>
            <w:pPr>
              <w:spacing w:after="0" w:line="240" w:lineRule="auto"/>
            </w:pPr>
            <w:r>
              <w:rPr>
                <w:sz w:val="16"/>
              </w:rPr>
              <w:t>Disabling provider control after reservation but before I/O prevents the fake transport call.</w:t>
            </w:r>
          </w:p>
        </w:tc>
      </w:tr>
      <w:tr>
        <w:tc>
          <w:tcPr>
            <w:tcW w:type="dxa" w:w="2016"/>
            <w:shd w:fill="F3F6F9"/>
            <w:tcMar>
              <w:top w:w="90" w:type="dxa"/>
              <w:start w:w="100" w:type="dxa"/>
              <w:bottom w:w="90" w:type="dxa"/>
              <w:end w:w="100" w:type="dxa"/>
            </w:tcMar>
            <w:vAlign w:val="center"/>
          </w:tcPr>
          <w:p>
            <w:pPr>
              <w:spacing w:after="0" w:line="240" w:lineRule="auto"/>
            </w:pPr>
            <w:r>
              <w:rPr>
                <w:sz w:val="16"/>
              </w:rPr>
              <w:t>Replay</w:t>
            </w:r>
          </w:p>
        </w:tc>
        <w:tc>
          <w:tcPr>
            <w:tcW w:type="dxa" w:w="8928"/>
            <w:shd w:fill="F3F6F9"/>
            <w:tcMar>
              <w:top w:w="90" w:type="dxa"/>
              <w:start w:w="100" w:type="dxa"/>
              <w:bottom w:w="90" w:type="dxa"/>
              <w:end w:w="100" w:type="dxa"/>
            </w:tcMar>
            <w:vAlign w:val="center"/>
          </w:tcPr>
          <w:p>
            <w:pPr>
              <w:spacing w:after="0" w:line="240" w:lineRule="auto"/>
            </w:pPr>
            <w:r>
              <w:rPr>
                <w:sz w:val="16"/>
              </w:rPr>
              <w:t>Same key and same snapshot replays; any changed cohort, max, provider set, classification policy, model, or evidence snapshot fails closed.</w:t>
            </w:r>
          </w:p>
        </w:tc>
      </w:tr>
      <w:tr>
        <w:tc>
          <w:tcPr>
            <w:tcW w:type="dxa" w:w="2016"/>
            <w:tcMar>
              <w:top w:w="90" w:type="dxa"/>
              <w:start w:w="100" w:type="dxa"/>
              <w:bottom w:w="90" w:type="dxa"/>
              <w:end w:w="100" w:type="dxa"/>
            </w:tcMar>
            <w:vAlign w:val="center"/>
          </w:tcPr>
          <w:p>
            <w:pPr>
              <w:spacing w:after="0" w:line="240" w:lineRule="auto"/>
            </w:pPr>
            <w:r>
              <w:rPr>
                <w:sz w:val="16"/>
              </w:rPr>
              <w:t>Waterfall order</w:t>
            </w:r>
          </w:p>
        </w:tc>
        <w:tc>
          <w:tcPr>
            <w:tcW w:type="dxa" w:w="8928"/>
            <w:tcMar>
              <w:top w:w="90" w:type="dxa"/>
              <w:start w:w="100" w:type="dxa"/>
              <w:bottom w:w="90" w:type="dxa"/>
              <w:end w:w="100" w:type="dxa"/>
            </w:tcMar>
            <w:vAlign w:val="center"/>
          </w:tcPr>
          <w:p>
            <w:pPr>
              <w:spacing w:after="0" w:line="240" w:lineRule="auto"/>
            </w:pPr>
            <w:r>
              <w:rPr>
                <w:sz w:val="16"/>
              </w:rPr>
              <w:t>Free evidence stops all paid calls; unresolved domain invokes Serper then free recrawl; business identity invokes Outscraper; unresolved named decision-maker invokes Apollo last.</w:t>
            </w:r>
          </w:p>
        </w:tc>
      </w:tr>
      <w:tr>
        <w:tc>
          <w:tcPr>
            <w:tcW w:type="dxa" w:w="2016"/>
            <w:shd w:fill="F3F6F9"/>
            <w:tcMar>
              <w:top w:w="90" w:type="dxa"/>
              <w:start w:w="100" w:type="dxa"/>
              <w:bottom w:w="90" w:type="dxa"/>
              <w:end w:w="100" w:type="dxa"/>
            </w:tcMar>
            <w:vAlign w:val="center"/>
          </w:tcPr>
          <w:p>
            <w:pPr>
              <w:spacing w:after="0" w:line="240" w:lineRule="auto"/>
            </w:pPr>
            <w:r>
              <w:rPr>
                <w:sz w:val="16"/>
              </w:rPr>
              <w:t>Suppression</w:t>
            </w:r>
          </w:p>
        </w:tc>
        <w:tc>
          <w:tcPr>
            <w:tcW w:type="dxa" w:w="8928"/>
            <w:shd w:fill="F3F6F9"/>
            <w:tcMar>
              <w:top w:w="90" w:type="dxa"/>
              <w:start w:w="100" w:type="dxa"/>
              <w:bottom w:w="90" w:type="dxa"/>
              <w:end w:w="100" w:type="dxa"/>
            </w:tcMar>
            <w:vAlign w:val="center"/>
          </w:tcPr>
          <w:p>
            <w:pPr>
              <w:spacing w:after="0" w:line="240" w:lineRule="auto"/>
            </w:pPr>
            <w:r>
              <w:rPr>
                <w:sz w:val="16"/>
              </w:rPr>
              <w:t>A suppressed contact does not suppress a business; that subject is excluded and another eligible subject can close the gap.</w:t>
            </w:r>
          </w:p>
        </w:tc>
      </w:tr>
      <w:tr>
        <w:tc>
          <w:tcPr>
            <w:tcW w:type="dxa" w:w="2016"/>
            <w:tcMar>
              <w:top w:w="90" w:type="dxa"/>
              <w:start w:w="100" w:type="dxa"/>
              <w:bottom w:w="90" w:type="dxa"/>
              <w:end w:w="100" w:type="dxa"/>
            </w:tcMar>
            <w:vAlign w:val="center"/>
          </w:tcPr>
          <w:p>
            <w:pPr>
              <w:spacing w:after="0" w:line="240" w:lineRule="auto"/>
            </w:pPr>
            <w:r>
              <w:rPr>
                <w:sz w:val="16"/>
              </w:rPr>
              <w:t>Atomic evidence</w:t>
            </w:r>
          </w:p>
        </w:tc>
        <w:tc>
          <w:tcPr>
            <w:tcW w:type="dxa" w:w="8928"/>
            <w:tcMar>
              <w:top w:w="90" w:type="dxa"/>
              <w:start w:w="100" w:type="dxa"/>
              <w:bottom w:w="90" w:type="dxa"/>
              <w:end w:w="100" w:type="dxa"/>
            </w:tcMar>
            <w:vAlign w:val="center"/>
          </w:tcPr>
          <w:p>
            <w:pPr>
              <w:spacing w:after="0" w:line="240" w:lineRule="auto"/>
            </w:pPr>
            <w:r>
              <w:rPr>
                <w:sz w:val="16"/>
              </w:rPr>
              <w:t>Injected faults between provider result, evidence insert, settlement, and stage linkage leave a reconcilable terminal state with no orphaned bill or candidate.</w:t>
            </w:r>
          </w:p>
        </w:tc>
      </w:tr>
      <w:tr>
        <w:tc>
          <w:tcPr>
            <w:tcW w:type="dxa" w:w="2016"/>
            <w:shd w:fill="F3F6F9"/>
            <w:tcMar>
              <w:top w:w="90" w:type="dxa"/>
              <w:start w:w="100" w:type="dxa"/>
              <w:bottom w:w="90" w:type="dxa"/>
              <w:end w:w="100" w:type="dxa"/>
            </w:tcMar>
            <w:vAlign w:val="center"/>
          </w:tcPr>
          <w:p>
            <w:pPr>
              <w:spacing w:after="0" w:line="240" w:lineRule="auto"/>
            </w:pPr>
            <w:r>
              <w:rPr>
                <w:sz w:val="16"/>
              </w:rPr>
              <w:t>Schema parity</w:t>
            </w:r>
          </w:p>
        </w:tc>
        <w:tc>
          <w:tcPr>
            <w:tcW w:type="dxa" w:w="8928"/>
            <w:shd w:fill="F3F6F9"/>
            <w:tcMar>
              <w:top w:w="90" w:type="dxa"/>
              <w:start w:w="100" w:type="dxa"/>
              <w:bottom w:w="90" w:type="dxa"/>
              <w:end w:w="100" w:type="dxa"/>
            </w:tcMar>
            <w:vAlign w:val="center"/>
          </w:tcPr>
          <w:p>
            <w:pPr>
              <w:spacing w:after="0" w:line="240" w:lineRule="auto"/>
            </w:pPr>
            <w:r>
              <w:rPr>
                <w:sz w:val="16"/>
              </w:rPr>
              <w:t>Fresh migration and Drizzle push produce equivalent constraints; pre-existing ZeroBounce validation items remain valid.</w:t>
            </w:r>
          </w:p>
        </w:tc>
      </w:tr>
      <w:tr>
        <w:tc>
          <w:tcPr>
            <w:tcW w:type="dxa" w:w="2016"/>
            <w:tcMar>
              <w:top w:w="90" w:type="dxa"/>
              <w:start w:w="100" w:type="dxa"/>
              <w:bottom w:w="90" w:type="dxa"/>
              <w:end w:w="100" w:type="dxa"/>
            </w:tcMar>
            <w:vAlign w:val="center"/>
          </w:tcPr>
          <w:p>
            <w:pPr>
              <w:spacing w:after="0" w:line="240" w:lineRule="auto"/>
            </w:pPr>
            <w:r>
              <w:rPr>
                <w:sz w:val="16"/>
              </w:rPr>
              <w:t>UI</w:t>
            </w:r>
          </w:p>
        </w:tc>
        <w:tc>
          <w:tcPr>
            <w:tcW w:type="dxa" w:w="8928"/>
            <w:tcMar>
              <w:top w:w="90" w:type="dxa"/>
              <w:start w:w="100" w:type="dxa"/>
              <w:bottom w:w="90" w:type="dxa"/>
              <w:end w:w="100" w:type="dxa"/>
            </w:tcMar>
            <w:vAlign w:val="center"/>
          </w:tcPr>
          <w:p>
            <w:pPr>
              <w:spacing w:after="0" w:line="240" w:lineRule="auto"/>
            </w:pPr>
            <w:r>
              <w:rPr>
                <w:sz w:val="16"/>
              </w:rPr>
              <w:t>Every new endpoint has a visible bounded control, preview, progress/result state, idempotency persistence, and error display. Recurrence remains off by default.</w:t>
            </w:r>
          </w:p>
        </w:tc>
      </w:tr>
      <w:tr>
        <w:tc>
          <w:tcPr>
            <w:tcW w:type="dxa" w:w="2016"/>
            <w:shd w:fill="F3F6F9"/>
            <w:tcMar>
              <w:top w:w="90" w:type="dxa"/>
              <w:start w:w="100" w:type="dxa"/>
              <w:bottom w:w="90" w:type="dxa"/>
              <w:end w:w="100" w:type="dxa"/>
            </w:tcMar>
            <w:vAlign w:val="center"/>
          </w:tcPr>
          <w:p>
            <w:pPr>
              <w:spacing w:after="0" w:line="240" w:lineRule="auto"/>
            </w:pPr>
            <w:r>
              <w:rPr>
                <w:sz w:val="16"/>
              </w:rPr>
              <w:t>Handoff</w:t>
            </w:r>
          </w:p>
        </w:tc>
        <w:tc>
          <w:tcPr>
            <w:tcW w:type="dxa" w:w="8928"/>
            <w:shd w:fill="F3F6F9"/>
            <w:tcMar>
              <w:top w:w="90" w:type="dxa"/>
              <w:start w:w="100" w:type="dxa"/>
              <w:bottom w:w="90" w:type="dxa"/>
              <w:end w:w="100" w:type="dxa"/>
            </w:tcMar>
            <w:vAlign w:val="center"/>
          </w:tcPr>
          <w:p>
            <w:pPr>
              <w:spacing w:after="0" w:line="240" w:lineRule="auto"/>
            </w:pPr>
            <w:r>
              <w:rPr>
                <w:sz w:val="16"/>
              </w:rPr>
              <w:t>Unified free and paid candidate references can be consumed by Task 2000 without raw-value exposure or fabricated lineage.</w:t>
            </w:r>
          </w:p>
        </w:tc>
      </w:tr>
      <w:tr>
        <w:tc>
          <w:tcPr>
            <w:tcW w:type="dxa" w:w="2016"/>
            <w:tcMar>
              <w:top w:w="90" w:type="dxa"/>
              <w:start w:w="100" w:type="dxa"/>
              <w:bottom w:w="90" w:type="dxa"/>
              <w:end w:w="100" w:type="dxa"/>
            </w:tcMar>
            <w:vAlign w:val="center"/>
          </w:tcPr>
          <w:p>
            <w:pPr>
              <w:spacing w:after="0" w:line="240" w:lineRule="auto"/>
            </w:pPr>
            <w:r>
              <w:rPr>
                <w:sz w:val="16"/>
              </w:rPr>
              <w:t>Kill lines</w:t>
            </w:r>
          </w:p>
        </w:tc>
        <w:tc>
          <w:tcPr>
            <w:tcW w:type="dxa" w:w="8928"/>
            <w:tcMar>
              <w:top w:w="90" w:type="dxa"/>
              <w:start w:w="100" w:type="dxa"/>
              <w:bottom w:w="90" w:type="dxa"/>
              <w:end w:w="100" w:type="dxa"/>
            </w:tcMar>
            <w:vAlign w:val="center"/>
          </w:tcPr>
          <w:p>
            <w:pPr>
              <w:spacing w:after="0" w:line="240" w:lineRule="auto"/>
            </w:pPr>
            <w:r>
              <w:rPr>
                <w:sz w:val="16"/>
              </w:rPr>
              <w:t>No fake test can reach live Serper, Outscraper, Apollo, OpenAI, ZeroBounce, GHL, campaigns, sequences, or outreach.</w:t>
            </w:r>
          </w:p>
        </w:tc>
      </w:tr>
    </w:tbl>
    <w:p>
      <w:pPr>
        <w:widowControl/>
        <w:spacing w:after="20"/>
      </w:pPr>
    </w:p>
    <w:p>
      <w:pPr>
        <w:pageBreakBefore/>
        <w:widowControl/>
      </w:pPr>
    </w:p>
    <w:p>
      <w:pPr>
        <w:pStyle w:val="Heading1"/>
        <w:keepNext/>
        <w:widowControl/>
      </w:pPr>
      <w:r>
        <w:t>6 Exact Consolidated Message for Replit</w:t>
      </w:r>
    </w:p>
    <w:p>
      <w:pPr>
        <w:widowControl/>
        <w:spacing w:after="100" w:line="259" w:lineRule="auto"/>
      </w:pPr>
      <w:r>
        <w:t>Send the text below as one reopened correction pass. Do not split it into follow-up tasks and do not publish until the complete certification passes.</w:t>
      </w:r>
    </w:p>
    <w:p>
      <w:pPr>
        <w:widowControl/>
        <w:spacing w:after="60" w:line="245" w:lineRule="auto"/>
      </w:pPr>
      <w:r>
        <w:t>Reopen Task #1999 as one final consolidated correction pass against origin/main SHA 6c47fe9b12b66560ae901a3cf4059c3ac1470fd5. Do not publish, activate providers, enable recurrence, call live providers, or send outreach. Preserve the pieces that are correct, but close every item in the attached Task 1999 Post Merge Repository Audit in one pass.</w:t>
      </w:r>
    </w:p>
    <w:p>
      <w:pPr>
        <w:widowControl/>
        <w:spacing w:after="40"/>
      </w:pPr>
    </w:p>
    <w:p>
      <w:pPr>
        <w:widowControl/>
        <w:spacing w:after="60" w:line="245" w:lineRule="auto"/>
      </w:pPr>
      <w:r>
        <w:t>Required outcomes:</w:t>
      </w:r>
    </w:p>
    <w:p>
      <w:pPr>
        <w:widowControl/>
        <w:spacing w:after="60" w:line="245" w:lineRule="auto"/>
        <w:ind w:left="259" w:hanging="259"/>
      </w:pPr>
      <w:r>
        <w:t>1. Make current-policy sfp_classification_evidence an authoritative input to #1998 cohort eligibility. Target may admit; non-target excludes; review_required remains out. Pin the exact evidence row and include its ID/hash/policy/classifier/model/prompt versions in the immutable decision manifest and cohort hash.</w:t>
      </w:r>
    </w:p>
    <w:p>
      <w:pPr>
        <w:widowControl/>
        <w:spacing w:after="60" w:line="245" w:lineRule="auto"/>
        <w:ind w:left="259" w:hanging="259"/>
      </w:pPr>
      <w:r>
        <w:t>2. Apply the complete #1998 exclusion predicate before any Phase A provider admission: DBPR lineage, inactive entity, existing customer/relationship, internal/test/demo, and authoritative business-wide exclusion. Subject-level suppression must exclude only that subject.</w:t>
      </w:r>
    </w:p>
    <w:p>
      <w:pPr>
        <w:widowControl/>
        <w:spacing w:after="60" w:line="245" w:lineRule="auto"/>
        <w:ind w:left="259" w:hanging="259"/>
      </w:pPr>
      <w:r>
        <w:t>3. Repair Phase A paid accounting and concurrency: persist in-flight reserved dollars before I/O under the shared $50 lock; use fenced renewable item leases; perform a final gate/lease/cancellation check immediately before transport; completed operations replay stored outcomes and never call transport again; concurrent same-key calls produce at most one provider call.</w:t>
      </w:r>
    </w:p>
    <w:p>
      <w:pPr>
        <w:widowControl/>
        <w:spacing w:after="60" w:line="245" w:lineRule="auto"/>
        <w:ind w:left="259" w:hanging="259"/>
      </w:pPr>
      <w:r>
        <w:t>4. Repair idempotency for Phase A and frozen-cohort paid runs. The request hash must bind program, cohort/hash where applicable, max items, provider set/order, target taxonomy, policy/classifier/model/prompt versions, Serper authorization, and evidence snapshot. Same key plus changed payload fails closed.</w:t>
      </w:r>
    </w:p>
    <w:p>
      <w:pPr>
        <w:widowControl/>
        <w:spacing w:after="60" w:line="245" w:lineRule="auto"/>
        <w:ind w:left="259" w:hanging="259"/>
      </w:pPr>
      <w:r>
        <w:t>5. Make shared/schema.ts semantically identical to migration 0287's provider-scoped sfp_stage_items candidate-reference constraint so existing ZeroBounce rows remain valid. Add parity fixtures.</w:t>
      </w:r>
    </w:p>
    <w:p>
      <w:pPr>
        <w:widowControl/>
        <w:spacing w:after="60" w:line="245" w:lineRule="auto"/>
        <w:ind w:left="259" w:hanging="259"/>
      </w:pPr>
      <w:r>
        <w:t>6. Replace the current Apollo-first loop with the required evidence-gap waterfall: deterministic/free evidence, governed classification for ambiguity, Serper official-domain discovery plus free recrawl, Outscraper business identity/location/category, then Apollo named decision-maker. Each provider runs only for its open dimension.</w:t>
      </w:r>
    </w:p>
    <w:p>
      <w:pPr>
        <w:widowControl/>
        <w:spacing w:after="60" w:line="245" w:lineRule="auto"/>
        <w:ind w:left="259" w:hanging="259"/>
      </w:pPr>
      <w:r>
        <w:t>7. Build and persist truthful before/after gap vectors from frozen classification/geography, current verified contact links, free and paid candidates, suppression/bounce/relationship state, and provider results. Do not hardcode targetVerticalResolved or pass empty suppression evidence.</w:t>
      </w:r>
    </w:p>
    <w:p>
      <w:pPr>
        <w:widowControl/>
        <w:spacing w:after="60" w:line="245" w:lineRule="auto"/>
        <w:ind w:left="259" w:hanging="259"/>
      </w:pPr>
      <w:r>
        <w:t>8. Normalize and persist the relevant Outscraper fields, rank Apollo people with the existing candidate-selector tier model, and rank unified candidates by evidence quality rather than paid-first. Preserve all source observations and encrypted values.</w:t>
      </w:r>
    </w:p>
    <w:p>
      <w:pPr>
        <w:widowControl/>
        <w:spacing w:after="60" w:line="245" w:lineRule="auto"/>
        <w:ind w:left="259" w:hanging="259"/>
      </w:pPr>
      <w:r>
        <w:t>9. Make provider result, cost settlement, evidence row, and sfp_stage_items linkage atomic, or implement a durable explicit reconciler. Add DB-enforced immutability for terminal classification and paid-candidate evidence.</w:t>
      </w:r>
    </w:p>
    <w:p>
      <w:pPr>
        <w:widowControl/>
        <w:spacing w:after="60" w:line="245" w:lineRule="auto"/>
        <w:ind w:left="259" w:hanging="259"/>
      </w:pPr>
      <w:r>
        <w:t>10. Replace client-supplied cost counts with server-derived snapshot-bound previews. Add a read-only Phase A preview. Fix paid-waterfall preview so OpenAI classification is truthfully represented. Execution must bind to the preview snapshot or fail stale.</w:t>
      </w:r>
    </w:p>
    <w:p>
      <w:pPr>
        <w:widowControl/>
        <w:spacing w:after="60" w:line="245" w:lineRule="auto"/>
        <w:ind w:left="259" w:hanging="259"/>
      </w:pPr>
      <w:r>
        <w:t>11. Wire the existing Lead Ops SouthFloridaProspectingPanel to Phase A preview/run, Serper, Outscraper, Apollo, cost/yield telemetry, per-business gap vectors, progress/errors, and bounded idempotent manual actions. Add a separate recurring control that defaults OFF and requires explicit authorization; do not activate it.</w:t>
      </w:r>
    </w:p>
    <w:p>
      <w:pPr>
        <w:widowControl/>
        <w:spacing w:after="60" w:line="245" w:lineRule="auto"/>
        <w:ind w:left="259" w:hanging="259"/>
      </w:pPr>
      <w:r>
        <w:t>12. Define the typed free-or-paid candidate reference contract Task #2000 will consume. Do not perform ZeroBounce validation in this task, but update the #2000 handoff/plan so paid Apollo emails are not a dead end.</w:t>
      </w:r>
    </w:p>
    <w:p>
      <w:pPr>
        <w:widowControl/>
        <w:spacing w:after="60" w:line="245" w:lineRule="auto"/>
        <w:ind w:left="259" w:hanging="259"/>
      </w:pPr>
      <w:r>
        <w:t>13. Use the configured inexpensive OpenAI classification model and bind the exact model and matching price artifact into the run/config hash.</w:t>
      </w:r>
    </w:p>
    <w:p>
      <w:pPr>
        <w:widowControl/>
        <w:spacing w:after="60" w:line="245" w:lineRule="auto"/>
        <w:ind w:left="259" w:hanging="259"/>
      </w:pPr>
      <w:r>
        <w:t>14. Register a new disposable-Postgres Task #1999 certification suite in scripts/ci-suite-manifest.ts and scripts/pre-deploy.ts. It must use fake HTTP/provider transports and prove every acceptance item in the attached audit, including DBPR no-call, cap race, same-key concurrency, final pre-I/O kill line, divergent replay, schema parity, atomic evidence, UI controls, and zero live provider/outreach effects. Existing #1998, API coverage, role guards, provider-manifest, and migration integrity suites must still pass.</w:t>
      </w:r>
    </w:p>
    <w:p>
      <w:pPr>
        <w:widowControl/>
        <w:spacing w:after="60" w:line="245" w:lineRule="auto"/>
        <w:ind w:left="259" w:hanging="259"/>
      </w:pPr>
      <w:r>
        <w:t>15. Remove unrelated image/memory files from the correction diff unless independently required.</w:t>
      </w:r>
    </w:p>
    <w:p>
      <w:pPr>
        <w:widowControl/>
        <w:spacing w:after="40"/>
      </w:pPr>
    </w:p>
    <w:p>
      <w:pPr>
        <w:widowControl/>
        <w:spacing w:after="60" w:line="245" w:lineRule="auto"/>
      </w:pPr>
      <w:r>
        <w:t>Completion report must map each audit item to files, migration/schema changes, test names, and actual command results. End with: READY FOR INDEPENDENT PRE-PUBLISH AUDIT — DO NOT PUBLISH YET. Do not mark Task #1999 complete unless every item passes in one run.</w:t>
      </w:r>
    </w:p>
    <w:p>
      <w:pPr>
        <w:pStyle w:val="Heading1"/>
        <w:keepNext/>
        <w:widowControl/>
      </w:pPr>
      <w:r>
        <w:t>7 Final Verdict</w:t>
      </w:r>
    </w:p>
    <w:p>
      <w:pPr>
        <w:widowControl/>
        <w:spacing w:after="100" w:line="259" w:lineRule="auto"/>
      </w:pPr>
      <w:r>
        <w:t>Task #1999 is merged but not complete as scoped. Publishing now would expose a path that can spend against an under-accounted pre-cohort cap, duplicate paid calls under concurrency, leave the original vertical-resolution blocker functionally unresolved, and provide no usable Lead Ops workflow. Reopen the task for the consolidated correction above, then run an independent post-correction audit before Publish.</w:t>
      </w:r>
    </w:p>
    <w:sectPr w:rsidR="00FC693F" w:rsidRPr="0006063C" w:rsidSect="00034616">
      <w:headerReference w:type="default" r:id="rId9"/>
      <w:footerReference w:type="default" r:id="rId10"/>
      <w:pgSz w:w="12240" w:h="15840"/>
      <w:pgMar w:top="792" w:right="1008" w:bottom="79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128"/>
      <w:gridCol w:w="2736"/>
    </w:tblGrid>
    <w:tr>
      <w:tc>
        <w:tcPr>
          <w:tcW w:type="dxa" w:w="4932"/>
          <w:shd w:fill="163A5F"/>
          <w:tcMar>
            <w:top w:w="55" w:type="dxa"/>
            <w:start w:w="110" w:type="dxa"/>
            <w:bottom w:w="55" w:type="dxa"/>
            <w:end w:w="110" w:type="dxa"/>
          </w:tcMar>
        </w:tcPr>
        <w:p>
          <w:pPr>
            <w:spacing w:after="0"/>
          </w:pPr>
          <w:r>
            <w:rPr>
              <w:b/>
              <w:color w:val="FFFFFF"/>
              <w:sz w:val="18"/>
            </w:rPr>
            <w:t>REPLIT EXECUTION CONTROL</w:t>
          </w:r>
        </w:p>
      </w:tc>
      <w:tc>
        <w:tcPr>
          <w:tcW w:type="dxa" w:w="4932"/>
          <w:shd w:fill="2F75B5"/>
          <w:tcMar>
            <w:top w:w="55" w:type="dxa"/>
            <w:start w:w="110" w:type="dxa"/>
            <w:bottom w:w="55" w:type="dxa"/>
            <w:end w:w="110" w:type="dxa"/>
          </w:tcMar>
        </w:tcPr>
        <w:p>
          <w:pPr>
            <w:spacing w:after="0"/>
            <w:jc w:val="right"/>
          </w:pPr>
          <w:r>
            <w:rPr>
              <w:b/>
              <w:color w:val="FFFFFF"/>
              <w:sz w:val="18"/>
            </w:rPr>
            <w:t>PRE-BUILD AUDIT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val="0"/>
      <w:bCs/>
      <w:color w:val="173A5E"/>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val="0"/>
      <w:bCs/>
      <w:color w:val="173A5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val="0"/>
      <w:bCs/>
      <w:color w:val="173A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6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1F293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216"/>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60" w:hanging="216"/>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Replit Prompt — Final Pre-Build Execution Audit</dc:title>
  <dc:subject>Reusable final Plan Mode audit gate before Build Mode</dc:subject>
  <dc:creator>python-docx</dc:creator>
  <cp:keywords>Replit, pre-build, audit, execution, Build Mode, gates</cp:keywords>
  <dc:description>generated by python-docx</dc:description>
  <cp:lastModifiedBy/>
  <cp:revision>1</cp:revision>
  <dcterms:created xsi:type="dcterms:W3CDTF">2013-12-23T23:15:00Z</dcterms:created>
  <dcterms:modified xsi:type="dcterms:W3CDTF">2013-12-23T23:15:00Z</dcterms:modified>
  <cp:category/>
</cp:coreProperties>
</file>