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4"/>
        </w:rPr>
        <w:t>HP Employee Travel &amp; Expense Policy</w:t>
      </w:r>
    </w:p>
    <w:p>
      <w:r>
        <w:rPr>
          <w:b/>
          <w:color w:val="0096D6"/>
          <w:sz w:val="20"/>
        </w:rPr>
        <w:t>Global Reimbursement Guidelines  |  Effective June 2026  |  Version 4.2</w:t>
      </w:r>
    </w:p>
    <w:p>
      <w:r>
        <w:rPr>
          <w:i/>
          <w:color w:val="555555"/>
          <w:sz w:val="17"/>
        </w:rPr>
        <w:t>TRAINING SAMPLE — fictional policy created for the PL-7008 Copilot Studio course. Not an official HP document.</w:t>
      </w:r>
    </w:p>
    <w:p>
      <w:pPr>
        <w:spacing w:after="120" w:before="200"/>
      </w:pPr>
      <w:r>
        <w:rPr>
          <w:b/>
          <w:color w:val="1F2A44"/>
          <w:sz w:val="30"/>
        </w:rPr>
        <w:t>1. Purpose and Scope</w:t>
      </w:r>
    </w:p>
    <w:p>
      <w:pPr>
        <w:spacing w:after="80"/>
      </w:pPr>
      <w:r>
        <w:rPr>
          <w:sz w:val="21"/>
        </w:rPr>
        <w:t>This policy describes which business expenses HP employees may claim, the limits that apply, and how to submit and approve claims. It applies to all employees and contingent workers who incur business expenses on HP's behalf. Reasonable, necessary, and properly documented expenses are reimbursable. Personal, lavish, or undocumented expenses are not.</w:t>
      </w:r>
    </w:p>
    <w:p>
      <w:pPr>
        <w:spacing w:after="120" w:before="200"/>
      </w:pPr>
      <w:r>
        <w:rPr>
          <w:b/>
          <w:color w:val="1F2A44"/>
          <w:sz w:val="30"/>
        </w:rPr>
        <w:t>2. What You Can Claim</w:t>
      </w:r>
    </w:p>
    <w:p>
      <w:pPr>
        <w:spacing w:after="80"/>
      </w:pPr>
      <w:r>
        <w:rPr>
          <w:sz w:val="21"/>
        </w:rPr>
        <w:t>Reimbursable expenses fall into four categories. Each category has a standard per-claim guideline. Amounts above the guideline require manager pre-approval and a business justification.</w:t>
      </w:r>
    </w:p>
    <w:p>
      <w:pPr>
        <w:pStyle w:val="ListBullet"/>
        <w:spacing w:after="40"/>
      </w:pPr>
      <w:r>
        <w:t>Accommodation — Standard hotel room for business travel. Guideline: up to $300 per night in standard markets; up to $400 per night in high-cost metros (e.g., San Francisco, New York, London, Tokyo). Room service and in-room entertainment are not reimbursable.</w:t>
      </w:r>
    </w:p>
    <w:p>
      <w:pPr>
        <w:pStyle w:val="ListBullet"/>
        <w:spacing w:after="40"/>
      </w:pPr>
      <w:r>
        <w:t>Meals — Meals while traveling or hosting a documented business purpose. Guideline: up to $75 per day for individual travel (the daily per diem), or actual cost for documented client meals. Alcohol is reimbursable only for client entertainment, never for solo travel.</w:t>
      </w:r>
    </w:p>
    <w:p>
      <w:pPr>
        <w:pStyle w:val="ListBullet"/>
        <w:spacing w:after="40"/>
      </w:pPr>
      <w:r>
        <w:t>Travel — Airfare (economy for flights under 6 hours; premium economy permitted over 6 hours), rail, rideshare, rental car, mileage, tolls, checked-baggage fees, and airport parking. Book through the HP travel portal whenever possible.</w:t>
      </w:r>
    </w:p>
    <w:p>
      <w:pPr>
        <w:pStyle w:val="ListBullet"/>
        <w:spacing w:after="40"/>
      </w:pPr>
      <w:r>
        <w:t>Entertainment — Client hospitality and approved team events with a clear business purpose and attendee list. Guideline: up to $150 per attendee. Events over $1,000 total require Director approval.</w:t>
      </w:r>
    </w:p>
    <w:p>
      <w:pPr>
        <w:spacing w:after="120" w:before="200"/>
      </w:pPr>
      <w:r>
        <w:rPr>
          <w:b/>
          <w:color w:val="1F2A44"/>
          <w:sz w:val="30"/>
        </w:rPr>
        <w:t>3. Per Diem and Incidental Expenses</w:t>
      </w:r>
    </w:p>
    <w:p>
      <w:pPr>
        <w:spacing w:after="80"/>
      </w:pPr>
      <w:r>
        <w:rPr>
          <w:sz w:val="21"/>
        </w:rPr>
        <w:t>Employees traveling overnight may claim a meal per diem of $75 per full travel day in lieu of itemized meal receipts. The per diem is reduced by 25% for any day on which a meal is otherwise provided (for example, a conference lunch).</w:t>
      </w:r>
    </w:p>
    <w:p>
      <w:pPr>
        <w:spacing w:after="80"/>
      </w:pPr>
      <w:r>
        <w:rPr>
          <w:sz w:val="21"/>
        </w:rPr>
        <w:t>Incidental expenses are minor, necessary business costs that arise in addition to a primary expense — such as tips, baggage handling, hotel Wi-Fi, or small transaction fees. Incidental expenses up to $25 per day may be claimed without an itemized receipt; above that amount, a receipt is required.</w:t>
      </w:r>
    </w:p>
    <w:p>
      <w:pPr>
        <w:spacing w:after="120" w:before="200"/>
      </w:pPr>
      <w:r>
        <w:rPr>
          <w:b/>
          <w:color w:val="1F2A44"/>
          <w:sz w:val="30"/>
        </w:rPr>
        <w:t>4. Documentation Requirements</w:t>
      </w:r>
    </w:p>
    <w:p>
      <w:pPr>
        <w:pStyle w:val="ListBullet"/>
        <w:spacing w:after="40"/>
      </w:pPr>
      <w:r>
        <w:t>Receipts are required for any single expense of $25 or more.</w:t>
      </w:r>
    </w:p>
    <w:p>
      <w:pPr>
        <w:pStyle w:val="ListBullet"/>
        <w:spacing w:after="40"/>
      </w:pPr>
      <w:r>
        <w:t>Each claim must include the expense date, amount, category, and a short business purpose.</w:t>
      </w:r>
    </w:p>
    <w:p>
      <w:pPr>
        <w:pStyle w:val="ListBullet"/>
        <w:spacing w:after="40"/>
      </w:pPr>
      <w:r>
        <w:t>Client meals and entertainment must list the attendees and the business reason.</w:t>
      </w:r>
    </w:p>
    <w:p>
      <w:pPr>
        <w:pStyle w:val="ListBullet"/>
        <w:spacing w:after="40"/>
      </w:pPr>
      <w:r>
        <w:t>Claims must be submitted within 30 days of the expense date.</w:t>
      </w:r>
    </w:p>
    <w:p>
      <w:pPr>
        <w:spacing w:after="120" w:before="200"/>
      </w:pPr>
      <w:r>
        <w:rPr>
          <w:b/>
          <w:color w:val="1F2A44"/>
          <w:sz w:val="30"/>
        </w:rPr>
        <w:t>5. Submission and Approval Workflow</w:t>
      </w:r>
    </w:p>
    <w:p>
      <w:pPr>
        <w:spacing w:after="80"/>
      </w:pPr>
      <w:r>
        <w:rPr>
          <w:sz w:val="21"/>
        </w:rPr>
        <w:t>Expense claims move through four states. Employees submit claims; managers review and approve.</w:t>
      </w:r>
    </w:p>
    <w:p>
      <w:pPr>
        <w:pStyle w:val="ListBullet"/>
        <w:spacing w:after="40"/>
      </w:pPr>
      <w:r>
        <w:t>Submitted — The employee has entered the claim and attached receipts.</w:t>
      </w:r>
    </w:p>
    <w:p>
      <w:pPr>
        <w:pStyle w:val="ListBullet"/>
        <w:spacing w:after="40"/>
      </w:pPr>
      <w:r>
        <w:t>Evaluating — The approving manager or Finance is reviewing the claim against this policy.</w:t>
      </w:r>
    </w:p>
    <w:p>
      <w:pPr>
        <w:pStyle w:val="ListBullet"/>
        <w:spacing w:after="40"/>
      </w:pPr>
      <w:r>
        <w:t>Approved — The claim meets policy and is queued for reimbursement on the next payment run.</w:t>
      </w:r>
    </w:p>
    <w:p>
      <w:pPr>
        <w:pStyle w:val="ListBullet"/>
        <w:spacing w:after="40"/>
      </w:pPr>
      <w:r>
        <w:t>Rejected — The claim does not meet policy. The employee receives the reason and may resubmit a corrected claim.</w:t>
      </w:r>
    </w:p>
    <w:p>
      <w:pPr>
        <w:spacing w:after="80"/>
      </w:pPr>
      <w:r>
        <w:rPr>
          <w:sz w:val="21"/>
        </w:rPr>
        <w:t>Reimbursement for approved claims is paid within two payroll cycles. Questions about a specific claim should go to the approving manager first, then to the Finance Shared Services team.</w:t>
      </w:r>
    </w:p>
    <w:p>
      <w:pPr>
        <w:spacing w:after="120" w:before="200"/>
      </w:pPr>
      <w:r>
        <w:rPr>
          <w:b/>
          <w:color w:val="1F2A44"/>
          <w:sz w:val="30"/>
        </w:rPr>
        <w:t>6. Non-Reimbursable Expenses (Examples)</w:t>
      </w:r>
    </w:p>
    <w:p>
      <w:pPr>
        <w:pStyle w:val="ListBullet"/>
        <w:spacing w:after="40"/>
      </w:pPr>
      <w:r>
        <w:t>Personal entertainment, mini-bar, and in-room movies.</w:t>
      </w:r>
    </w:p>
    <w:p>
      <w:pPr>
        <w:pStyle w:val="ListBullet"/>
        <w:spacing w:after="40"/>
      </w:pPr>
      <w:r>
        <w:t>Traffic, parking, or airline change fines caused by personal choice.</w:t>
      </w:r>
    </w:p>
    <w:p>
      <w:pPr>
        <w:pStyle w:val="ListBullet"/>
        <w:spacing w:after="40"/>
      </w:pPr>
      <w:r>
        <w:t>Spouse or family travel costs.</w:t>
      </w:r>
    </w:p>
    <w:p>
      <w:pPr>
        <w:pStyle w:val="ListBullet"/>
        <w:spacing w:after="40"/>
      </w:pPr>
      <w:r>
        <w:t>Office supplies that should be procured through the standard purchasing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