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Life — Monthly Operating Review Notes</w:t>
      </w:r>
    </w:p>
    <w:p>
      <w:r>
        <w:t>Period reviewed: June, first half FY2026</w:t>
        <w:br/>
        <w:t>Meeting: Thursday, 9 July 2026, 10:00–11:15, Rivergate B</w:t>
        <w:br/>
        <w:t>Source of record: Northstar_Life_Monthly_Performance.xlsx (June close, locked on the fifth business day)</w:t>
      </w:r>
    </w:p>
    <w:p>
      <w:r>
        <w:t>Attendees: Ellis Tran (Controller, chair) · Priya Raghunathan (Senior Analyst, FP&amp;A) · Dana Whitfield (VP Claims Operations) · Bree Kowalczyk (Manager, Claims Operations) · Marcus Deland (Director, Technology Finance)</w:t>
        <w:br/>
        <w:t>Regrets: Alina Foss (Director, Revenue Finance) — Revenue items taken by Priya</w:t>
        <w:br/>
        <w:t>Notes: taken by whoever is on monthly review prep this cycle. See action item A-4.</w:t>
      </w:r>
    </w:p>
    <w:p>
      <w:r>
        <w:t>Purpose of this meeting: agree what the June close shows, agree what we can support in writing, and agree what stays open. Not to produce the board narrative — that comes after.</w:t>
      </w:r>
    </w:p>
    <w:p>
      <w:pPr>
        <w:pStyle w:val="Heading1"/>
      </w:pPr>
      <w:r>
        <w:t>1. Close status (5 min)</w:t>
      </w:r>
    </w:p>
    <w:p>
      <w:r>
        <w:t>Finance confirmed the June workbook closed on schedule on the fifth business day. No restatements to prior months. The PerformanceData table is the single source for plan, actual, variance and the neutral data-quality flags; the review works from that table and from these notes, and from nothing else.</w:t>
      </w:r>
    </w:p>
    <w:p>
      <w:r>
        <w:t>Ellis restated the standing rule for the room: the workbook contains calculations and quality flags, not causes. A cause enters this record only when someone in the room can say where it came from.</w:t>
      </w:r>
    </w:p>
    <w:p>
      <w:pPr>
        <w:pStyle w:val="Heading1"/>
      </w:pPr>
      <w:r>
        <w:t>2. Claims (35 min — ran long)</w:t>
      </w:r>
    </w:p>
    <w:p>
      <w:r>
        <w:t>June paid claims is the largest unfavorable item in the half (PerformanceData row 18) and is the item the board will ask about. The claims committee takes up the same question at its own meeting next Thursday, and the two conversations need to end in the same place.</w:t>
      </w:r>
    </w:p>
    <w:p>
      <w:r>
        <w:t>Dana asked directly whether the March explanation extends to June. It does not, and nobody in the room offered evidence that it does.</w:t>
      </w:r>
    </w:p>
    <w:p>
      <w:r>
        <w:t>March included two large-loss claim events. Finance has confirmed the amounts but not a persistent trend.</w:t>
      </w:r>
    </w:p>
    <w:p>
      <w:r>
        <w:t>That sentence is the approved wording, and it applies to March. Bree noted from an operations perspective that intake staffing and prioritization were normal through the month, which is useful context but not an explanation of the result.</w:t>
      </w:r>
    </w:p>
    <w:p>
      <w:r>
        <w:t>The June supporting claim-detail schedule was not included in the close pack and was not available at the time of this review. Without it, no cause for June was proposed, discussed or agreed. June's driver is recorded as an open question, not as a hypothesis with a leading candidate.</w:t>
      </w:r>
    </w:p>
    <w:p>
      <w:r>
        <w:t>February came up again. February paid claims remain unexplained; no supporting analysis has been produced since the item was first raised, and it stays open on the same terms as June. Priya asked that it not be quietly dropped simply because it is now five months old.</w:t>
      </w:r>
    </w:p>
    <w:p>
      <w:pPr>
        <w:pStyle w:val="Heading1"/>
      </w:pPr>
      <w:r>
        <w:t>3. Operating expense (15 min)</w:t>
      </w:r>
    </w:p>
    <w:p>
      <w:r>
        <w:t>June technology expense included a planned implementation milestone plus contractor timing; final allocation review is pending.</w:t>
      </w:r>
    </w:p>
    <w:p>
      <w:r>
        <w:t>Marcus confirmed the allocation review is still with Technology Finance and gave no date. Until it closes, the June operating expense explanation is Blocked — the number in the workbook is real, the description of what sat inside the month is agreed, and the split is not final. Ellis asked that it be reported as Blocked rather than smoothed over with softer language, and that the same treatment apply in any board material.</w:t>
      </w:r>
    </w:p>
    <w:p>
      <w:pPr>
        <w:pStyle w:val="Heading1"/>
      </w:pPr>
      <w:r>
        <w:t>4. Revenue (10 min)</w:t>
      </w:r>
    </w:p>
    <w:p>
      <w:r>
        <w:t>April and June new-business conversion finished below plan. Channel-level evidence has not yet been approved for this review.</w:t>
      </w:r>
    </w:p>
    <w:p>
      <w:r>
        <w:t>May renewal activity exceeded expectations. The campaign team believes outreach contributed, but no controlled attribution analysis is available.</w:t>
      </w:r>
    </w:p>
    <w:p>
      <w:r>
        <w:t>Both items are recorded as stated. Priya flagged that the May attribution belief has now appeared in three consecutive sets of notes and has still not been tested; the room agreed it is a belief, correctly labeled, and that repetition does not upgrade it.</w:t>
      </w:r>
    </w:p>
    <w:p>
      <w:pPr>
        <w:pStyle w:val="Heading1"/>
      </w:pPr>
      <w:r>
        <w:t>5. Reporting standard (5 min)</w:t>
      </w:r>
    </w:p>
    <w:p>
      <w:r>
        <w:t>Management wants material findings, open questions, and named owners rather than a long narrative.</w:t>
      </w:r>
    </w:p>
    <w:p>
      <w:r>
        <w:t>Ellis reminded the room that "named owners" is meant literally. An action item without a person's name on it is not an action item.</w:t>
      </w:r>
    </w:p>
    <w:p>
      <w:pPr>
        <w:pStyle w:val="Heading1"/>
      </w:pPr>
      <w:r>
        <w:t>6. Process (5 min — carried over)</w:t>
      </w:r>
    </w:p>
    <w:p>
      <w:r>
        <w:t>The review process itself was raised for the third consecutive month. The workflow is well understood end to end: Finance closes the workbook, the review meets, a one-page brief and claim ledger are produced, and the FP&amp;A lead approves the narrative. The step between "figures produced" and "narrative approved" — the check that every figure in the outgoing document traces back to a workbook cell — has no name against it. Everyone assumes it happens. Last quarter it did not, and a polished pre-read reached leadership carrying figures nobody had traced.</w:t>
      </w:r>
    </w:p>
    <w:p>
      <w:r>
        <w:t>No decision was reached in this meeting. The item is carried again.</w:t>
      </w:r>
    </w:p>
    <w:p>
      <w:pPr>
        <w:pStyle w:val="Heading1"/>
      </w:pPr>
      <w:r>
        <w:t>Open questions carried out of this review</w:t>
      </w:r>
    </w:p>
    <w:p>
      <w:pPr>
        <w:pStyle w:val="ListNumber"/>
      </w:pPr>
      <w:r>
        <w:t>What drove the June paid claims result? **Open.** No supporting schedule available; no cause proposed.</w:t>
      </w:r>
    </w:p>
    <w:p>
      <w:pPr>
        <w:pStyle w:val="ListNumber"/>
      </w:pPr>
      <w:r>
        <w:t>What drove the February paid claims result? **Open.** Unchanged since first raised.</w:t>
      </w:r>
    </w:p>
    <w:p>
      <w:pPr>
        <w:pStyle w:val="ListNumber"/>
      </w:pPr>
      <w:r>
        <w:t>What is the final June technology cost allocation? **Blocked** pending Technology Finance review.</w:t>
      </w:r>
    </w:p>
    <w:p>
      <w:pPr>
        <w:pStyle w:val="ListNumber"/>
      </w:pPr>
      <w:r>
        <w:t>Does channel-level evidence support the April and June conversion shortfall? **Not approved for this review.**</w:t>
      </w:r>
    </w:p>
    <w:p>
      <w:pPr>
        <w:pStyle w:val="ListNumber"/>
      </w:pPr>
      <w:r>
        <w:t>Who owns the verification step in this workflow? **Unresolved, third month.**</w:t>
      </w:r>
    </w:p>
    <w:p>
      <w:pPr>
        <w:pStyle w:val="Heading1"/>
      </w:pPr>
      <w:r>
        <w:t>Action items</w:t>
      </w:r>
    </w:p>
    <w:p>
      <w:r>
        <w:t>| ID | Action | Owner | Due |</w:t>
        <w:br/>
        <w:t>|---|---|---|---|</w:t>
        <w:br/>
        <w:t>| A-1 | Obtain the June claim-detail schedule and bring it to the next review. State severity and frequency separately; propose no cause before the schedule is in hand. | Dana Whitfield | Next review |</w:t>
        <w:br/>
        <w:t>| A-2 | Close the June technology cost allocation review and confirm the final split in writing. | Marcus Deland | Date not committed — chase weekly |</w:t>
        <w:br/>
        <w:t>| A-3 | Re-open the February claims item with whatever detail still exists and report back, including "nothing further available" if that is the answer. | Priya Raghunathan | Next review |</w:t>
        <w:br/>
        <w:t>| A-4 | Confirm who owns the final figure check before anything leaves this group — carried over 3rd month. | unassigned | unassigned |</w:t>
        <w:br/>
        <w:t>| A-5 | Ensure the claims committee and this record end in the same position on June; reconcile before the board package is drafted. | Ellis Tran | Before package lock |</w:t>
      </w:r>
    </w:p>
    <w:p>
      <w:r>
        <w:t>Next review: first Thursday after the July close. A-4 goes at the top of the agenda.</w:t>
      </w:r>
    </w:p>
    <w:p>
      <w:pPr>
        <w:pStyle w:val="Heading1"/>
      </w:pPr>
      <w:r>
        <w:t>Addendum — 20 July 2026</w:t>
      </w:r>
    </w:p>
    <w:p>
      <w:r>
        <w:t>The claims committee closed its own review of the June result and landed in the same position as this record: March stays with March, the technology allocation is described as open, and no cause is attached to June until the claim-detail schedule is in hand. The correspondence is filed as Northstar_Claims_Committee_Thread.</w:t>
      </w:r>
    </w:p>
    <w:p>
      <w:r>
        <w:t>A-4 is still unassigned. The committee chair raised the same gap independently on 20 July, without knowing it was already carried here for the third month. That is the finding.</w:t>
      </w:r>
    </w:p>
    <w:p>
      <w:r>
        <w:t>Northstar Life is a fictional company.</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