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Pad B Deluge System Inspection - Requirements Specification (RFQ-26-114)</w:t>
      </w:r>
    </w:p>
    <w:p>
      <w:r>
        <w:t>SYNTHETIC TRAINING DOCUMENT - fictional vendors, figures and terms. Campaign MERIDIAN training series.</w:t>
      </w:r>
    </w:p>
    <w:p>
      <w:pPr>
        <w:pStyle w:val="Heading1"/>
      </w:pPr>
      <w:r>
        <w:t>1. Scope</w:t>
      </w:r>
    </w:p>
    <w:p>
      <w:r>
        <w:t>Complete inspection and recertification of the Pad B deluge and sound-suppression system: nozzle assemblies, distribution manifolds, pump house, and control interlocks.</w:t>
      </w:r>
    </w:p>
    <w:p>
      <w:pPr>
        <w:pStyle w:val="Heading1"/>
      </w:pPr>
      <w:r>
        <w:t>2. Schedule - HARD CONSTRAINT</w:t>
      </w:r>
    </w:p>
    <w:p>
      <w:r>
        <w:t>All on-pad work must complete within a 2-day window (July 20-21). Pad B returns to integration support July 22. Proposals exceeding 2 on-pad days are non-compliant.</w:t>
      </w:r>
    </w:p>
    <w:p>
      <w:pPr>
        <w:pStyle w:val="Heading1"/>
      </w:pPr>
      <w:r>
        <w:t>3. Certification</w:t>
      </w:r>
    </w:p>
    <w:p>
      <w:r>
        <w:t>Inspection team must hold current NFPA 25 certification and prior launch-complex deluge experience. Certified pressure-test documentation required for all manifolds.</w:t>
      </w:r>
    </w:p>
    <w:p>
      <w:pPr>
        <w:pStyle w:val="Heading1"/>
      </w:pPr>
      <w:r>
        <w:t>4. Budget - CAP</w:t>
      </w:r>
    </w:p>
    <w:p>
      <w:r>
        <w:t>Total cost shall not exceed $48,000 including mobilization. Expedite fees must be itemized.</w:t>
      </w:r>
    </w:p>
    <w:p>
      <w:pPr>
        <w:pStyle w:val="Heading1"/>
      </w:pPr>
      <w:r>
        <w:t>5. Reporting</w:t>
      </w:r>
    </w:p>
    <w:p>
      <w:r>
        <w:t>Certified inspection report delivered within 5 business days of completion; preliminary verbal findings at end of day 2.</w:t>
      </w:r>
    </w:p>
    <w:p>
      <w:pPr>
        <w:pStyle w:val="Heading1"/>
      </w:pPr>
      <w:r>
        <w:t>6. Safety &amp; Access</w:t>
      </w:r>
    </w:p>
    <w:p>
      <w:r>
        <w:t>All personnel badge per Range Safety Policy Rev 7 (Section 5.2 escort rules apply to non-certified staff). Work halts during any range operation.</w:t>
      </w:r>
    </w:p>
    <w:p>
      <w:pPr>
        <w:pStyle w:val="Heading1"/>
      </w:pPr>
      <w:r>
        <w:t>7. Evaluation</w:t>
      </w:r>
    </w:p>
    <w:p>
      <w:r>
        <w:t>Award based on best value: schedule compliance, technical qualification, cost, reporting speed, and safety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