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Campaign Status Report — Orbital Lift LV-2 'Meridian' — Week 28</w:t>
      </w:r>
    </w:p>
    <w:p>
      <w:r>
        <w:t>SYNTHETIC TRAINING DOCUMENT. Prepared by: Program Office. Distribution: internal.</w:t>
      </w:r>
    </w:p>
    <w:p>
      <w:pPr>
        <w:pStyle w:val="Heading1"/>
      </w:pPr>
      <w:r>
        <w:t>1. Campaign Summary</w:t>
      </w:r>
    </w:p>
    <w:p>
      <w:r>
        <w:t>The Meridian campaign remains on track for a launch window opening 28 July 2026. Vehicle integration is 82% complete. Static fire completed 30 June with one anomaly (GSE chilldown valve V-114) since resolved. Range booking for the primary window is confirmed; backup window (4-6 August) booking is pending tenant signature.</w:t>
      </w:r>
    </w:p>
    <w:p>
      <w:pPr>
        <w:pStyle w:val="Heading1"/>
      </w:pPr>
      <w:r>
        <w:t>2. Schedule</w:t>
      </w:r>
    </w:p>
    <w:p>
      <w:pPr>
        <w:pStyle w:val="ListBullet"/>
      </w:pPr>
      <w:r>
        <w:t>Vehicle integration complete — 16 July (forecast, 2 days late vs baseline)</w:t>
      </w:r>
    </w:p>
    <w:p>
      <w:pPr>
        <w:pStyle w:val="ListBullet"/>
      </w:pPr>
      <w:r>
        <w:t>Wet dress rehearsal — 21 July</w:t>
      </w:r>
    </w:p>
    <w:p>
      <w:pPr>
        <w:pStyle w:val="ListBullet"/>
      </w:pPr>
      <w:r>
        <w:t>Launch readiness review — 24 July</w:t>
      </w:r>
    </w:p>
    <w:p>
      <w:pPr>
        <w:pStyle w:val="ListBullet"/>
      </w:pPr>
      <w:r>
        <w:t>Window opens — 28 July 0600-1000 local</w:t>
      </w:r>
    </w:p>
    <w:p>
      <w:pPr>
        <w:pStyle w:val="Heading1"/>
      </w:pPr>
      <w:r>
        <w:t>3. Risk Register (Top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R-081</w:t>
            </w:r>
          </w:p>
        </w:tc>
        <w:tc>
          <w:tcPr>
            <w:tcW w:type="dxa" w:w="2160"/>
          </w:tcPr>
          <w:p>
            <w:r>
              <w:t>Chilldown valve spares lead time exceeds 3 weeks</w:t>
            </w:r>
          </w:p>
        </w:tc>
        <w:tc>
          <w:tcPr>
            <w:tcW w:type="dxa" w:w="2160"/>
          </w:tcPr>
          <w:p>
            <w:r>
              <w:t>J. Okafor (GSE)</w:t>
            </w:r>
          </w:p>
        </w:tc>
        <w:tc>
          <w:tcPr>
            <w:tcW w:type="dxa" w:w="2160"/>
          </w:tcPr>
          <w:p>
            <w:r>
              <w:t>Mitigating — spares ordered 1 Jul</w:t>
            </w:r>
          </w:p>
        </w:tc>
      </w:tr>
      <w:tr>
        <w:tc>
          <w:tcPr>
            <w:tcW w:type="dxa" w:w="2160"/>
          </w:tcPr>
          <w:p>
            <w:r>
              <w:t>R-104</w:t>
            </w:r>
          </w:p>
        </w:tc>
        <w:tc>
          <w:tcPr>
            <w:tcW w:type="dxa" w:w="2160"/>
          </w:tcPr>
          <w:p>
            <w:r>
              <w:t>Backup window range booking unsigned</w:t>
            </w:r>
          </w:p>
        </w:tc>
        <w:tc>
          <w:tcPr>
            <w:tcW w:type="dxa" w:w="2160"/>
          </w:tcPr>
          <w:p>
            <w:r>
              <w:t>M. Reyes (Program)</w:t>
            </w:r>
          </w:p>
        </w:tc>
        <w:tc>
          <w:tcPr>
            <w:tcW w:type="dxa" w:w="2160"/>
          </w:tcPr>
          <w:p>
            <w:r>
              <w:t>OPEN — signature needed by 11 Jul</w:t>
            </w:r>
          </w:p>
        </w:tc>
      </w:tr>
      <w:tr>
        <w:tc>
          <w:tcPr>
            <w:tcW w:type="dxa" w:w="2160"/>
          </w:tcPr>
          <w:p>
            <w:r>
              <w:t>R-117</w:t>
            </w:r>
          </w:p>
        </w:tc>
        <w:tc>
          <w:tcPr>
            <w:tcW w:type="dxa" w:w="2160"/>
          </w:tcPr>
          <w:p>
            <w:r>
              <w:t>Cat-3 certification lapses for 4 pad crew before window</w:t>
            </w:r>
          </w:p>
        </w:tc>
        <w:tc>
          <w:tcPr>
            <w:tcW w:type="dxa" w:w="2160"/>
          </w:tcPr>
          <w:p>
            <w:r>
              <w:t>T. Nguyen (Ops)</w:t>
            </w:r>
          </w:p>
        </w:tc>
        <w:tc>
          <w:tcPr>
            <w:tcW w:type="dxa" w:w="2160"/>
          </w:tcPr>
          <w:p>
            <w:r>
              <w:t>Mitigating — recert class 10 Jul</w:t>
            </w:r>
          </w:p>
        </w:tc>
      </w:tr>
      <w:tr>
        <w:tc>
          <w:tcPr>
            <w:tcW w:type="dxa" w:w="2160"/>
          </w:tcPr>
          <w:p>
            <w:r>
              <w:t>R-092</w:t>
            </w:r>
          </w:p>
        </w:tc>
        <w:tc>
          <w:tcPr>
            <w:tcW w:type="dxa" w:w="2160"/>
          </w:tcPr>
          <w:p>
            <w:r>
              <w:t>Weather: seasonal afternoon storms vs 0600 window</w:t>
            </w:r>
          </w:p>
        </w:tc>
        <w:tc>
          <w:tcPr>
            <w:tcW w:type="dxa" w:w="2160"/>
          </w:tcPr>
          <w:p>
            <w:r>
              <w:t>Meteorology</w:t>
            </w:r>
          </w:p>
        </w:tc>
        <w:tc>
          <w:tcPr>
            <w:tcW w:type="dxa" w:w="2160"/>
          </w:tcPr>
          <w:p>
            <w:r>
              <w:t>Accepted — morning window chosen</w:t>
            </w:r>
          </w:p>
        </w:tc>
      </w:tr>
      <w:tr>
        <w:tc>
          <w:tcPr>
            <w:tcW w:type="dxa" w:w="2160"/>
          </w:tcPr>
          <w:p>
            <w:r>
              <w:t>R-121</w:t>
            </w:r>
          </w:p>
        </w:tc>
        <w:tc>
          <w:tcPr>
            <w:tcW w:type="dxa" w:w="2160"/>
          </w:tcPr>
          <w:p>
            <w:r>
              <w:t>Tenant insurance certificate not yet on file</w:t>
            </w:r>
          </w:p>
        </w:tc>
        <w:tc>
          <w:tcPr>
            <w:tcW w:type="dxa" w:w="2160"/>
          </w:tcPr>
          <w:p>
            <w:r>
              <w:t>UNASSIGNED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pPr>
        <w:pStyle w:val="Heading1"/>
      </w:pPr>
      <w:r>
        <w:t>4. Budget</w:t>
      </w:r>
    </w:p>
    <w:p>
      <w:r>
        <w:t>Campaign spend is $4.31M against a $4.6M budget (93.7%). Overtime driven by the static-fire anomaly accounts for $61K of variance. No further variance expected if the primary window holds.</w:t>
      </w:r>
    </w:p>
    <w:p>
      <w:pPr>
        <w:pStyle w:val="Heading1"/>
      </w:pPr>
      <w:r>
        <w:t>5. Decisions Needed This Week</w:t>
      </w:r>
    </w:p>
    <w:p>
      <w:pPr>
        <w:pStyle w:val="ListBullet"/>
      </w:pPr>
      <w:r>
        <w:t>Approve backup-window booking signature (owner: Program, due 11 Jul)</w:t>
      </w:r>
    </w:p>
    <w:p>
      <w:pPr>
        <w:pStyle w:val="ListBullet"/>
      </w:pPr>
      <w:r>
        <w:t>Approve weekend recertification class funding ($8.5K)</w:t>
      </w:r>
    </w:p>
    <w:p>
      <w:pPr>
        <w:pStyle w:val="ListBullet"/>
      </w:pPr>
      <w:r>
        <w:t>Confirm VIP viewing area capacity (fire marshal limit 120)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