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Tenant Use Agreement — Skyward Dynamics LLC and the Spaceport Authority (SYNTHETIC)</w:t>
      </w:r>
    </w:p>
    <w:p>
      <w:r>
        <w:t>SYNTHETIC TRAINING DOCUMENT — fictional tenant, fictional terms.</w:t>
      </w:r>
    </w:p>
    <w:p>
      <w:pPr>
        <w:pStyle w:val="Heading1"/>
      </w:pPr>
      <w:r>
        <w:t>1. Term and Facilities</w:t>
      </w:r>
    </w:p>
    <w:p>
      <w:r>
        <w:t>Tenant is granted non-exclusive use of Pad B, Integration Hangar Bay 2, and associated GSE for the period 1 July 2026 through 30 June 2027.</w:t>
      </w:r>
    </w:p>
    <w:p>
      <w:pPr>
        <w:pStyle w:val="Heading1"/>
      </w:pPr>
      <w:r>
        <w:t>2. Range Fees</w:t>
      </w:r>
    </w:p>
    <w:p>
      <w:r>
        <w:t>Base range fee is $180,000 per launch operation, invoiced 30 days prior to the window. Scrub-and-recycle within the same window incurs a $22,000 recycle fee. Annual facility fee: $240,000 payable quarterly.</w:t>
      </w:r>
    </w:p>
    <w:p>
      <w:pPr>
        <w:pStyle w:val="Heading1"/>
      </w:pPr>
      <w:r>
        <w:t>3. Insurance</w:t>
      </w:r>
    </w:p>
    <w:p>
      <w:r>
        <w:t>Tenant shall file a certificate of insurance evidencing third-party liability coverage of not less than $100M no later than 45 days before the first launch operation. Failure to file suspends range access.</w:t>
      </w:r>
    </w:p>
    <w:p>
      <w:pPr>
        <w:pStyle w:val="Heading1"/>
      </w:pPr>
      <w:r>
        <w:t>4. Integration Timeline</w:t>
      </w:r>
    </w:p>
    <w:p>
      <w:r>
        <w:t>Tenant shall deliver an integrated master schedule 60 days before each window and attend weekly integration meetings from L-30. Vehicle-to-pad rollout requires Authority approval at L-3 days.</w:t>
      </w:r>
    </w:p>
    <w:p>
      <w:pPr>
        <w:pStyle w:val="Heading1"/>
      </w:pPr>
      <w:r>
        <w:t>5. Safety Compliance</w:t>
      </w:r>
    </w:p>
    <w:p>
      <w:r>
        <w:t>Tenant operations are subject to the Range Safety Policy (current revision). Tenant pad crew must hold Category-3 certifications per Section 9.3 of that policy.</w:t>
      </w:r>
    </w:p>
    <w:p>
      <w:pPr>
        <w:pStyle w:val="Heading1"/>
      </w:pPr>
      <w:r>
        <w:t>6. Scheduling Priority</w:t>
      </w:r>
    </w:p>
    <w:p>
      <w:r>
        <w:t>Authority launch operations and previously confirmed bookings take priority. Backup windows are confirmed only upon countersignature.</w:t>
      </w:r>
    </w:p>
    <w:p>
      <w:pPr>
        <w:pStyle w:val="Heading1"/>
      </w:pPr>
      <w:r>
        <w:t>7. Termination</w:t>
      </w:r>
    </w:p>
    <w:p>
      <w:r>
        <w:t>Either party may terminate with 90 days notice; fees for confirmed windows within the notice period remain payable.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