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4401" w14:textId="21801DF0" w:rsidR="00A85759" w:rsidRPr="00A85759" w:rsidRDefault="00946156" w:rsidP="006E4112">
      <w:pPr>
        <w:pStyle w:val="Heading1"/>
      </w:pPr>
      <w:bookmarkStart w:id="0" w:name="_Toc440866552"/>
      <w:r w:rsidRPr="001A409A">
        <w:t>Risk Management Strategy</w:t>
      </w:r>
      <w:bookmarkEnd w:id="0"/>
    </w:p>
    <w:p w14:paraId="43CB962A" w14:textId="77777777" w:rsidR="00A85759" w:rsidRPr="00614AE5" w:rsidRDefault="00A85759" w:rsidP="00A85759">
      <w:pPr>
        <w:spacing w:after="0"/>
        <w:rPr>
          <w:b/>
          <w:bCs/>
          <w:sz w:val="20"/>
        </w:rPr>
      </w:pPr>
      <w:r w:rsidRPr="00614AE5">
        <w:rPr>
          <w:b/>
          <w:bCs/>
          <w:sz w:val="20"/>
        </w:rPr>
        <w:t>RMS Diagram</w:t>
      </w:r>
      <w:r>
        <w:rPr>
          <w:b/>
          <w:bCs/>
          <w:sz w:val="20"/>
        </w:rPr>
        <w:t>:</w:t>
      </w:r>
    </w:p>
    <w:p w14:paraId="744CB035" w14:textId="77777777" w:rsidR="00A85759" w:rsidRDefault="00A85759" w:rsidP="00A85759">
      <w:pPr>
        <w:spacing w:after="0"/>
        <w:rPr>
          <w:sz w:val="20"/>
        </w:rPr>
      </w:pPr>
      <w:r>
        <w:rPr>
          <w:noProof/>
        </w:rPr>
        <w:drawing>
          <wp:inline distT="0" distB="0" distL="0" distR="0" wp14:anchorId="1DA07817" wp14:editId="302BBDE8">
            <wp:extent cx="594360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D11F" w14:textId="77777777" w:rsidR="00A85759" w:rsidRDefault="00A85759" w:rsidP="00A85759">
      <w:pPr>
        <w:spacing w:after="0"/>
        <w:rPr>
          <w:sz w:val="20"/>
        </w:rPr>
      </w:pPr>
      <w:r>
        <w:rPr>
          <w:sz w:val="20"/>
        </w:rPr>
        <w:t>Risk management is one of the most import job duties of a project manager. The process can be divided into four part: risk identification, risk analysis, risk planning, and risk monitoring;</w:t>
      </w:r>
    </w:p>
    <w:p w14:paraId="49337372" w14:textId="77777777" w:rsidR="00A85759" w:rsidRPr="0075307C" w:rsidRDefault="00A85759" w:rsidP="00A8575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5307C">
        <w:rPr>
          <w:sz w:val="20"/>
        </w:rPr>
        <w:t>Risk identification is the process of identifying a list of potential risks that may occur during the project.</w:t>
      </w:r>
    </w:p>
    <w:p w14:paraId="55E0A671" w14:textId="77777777" w:rsidR="00A85759" w:rsidRPr="0075307C" w:rsidRDefault="00A85759" w:rsidP="00A8575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5307C">
        <w:rPr>
          <w:sz w:val="20"/>
        </w:rPr>
        <w:t>Risk Analysis is the process to analyse the list of risk identified and prioritize the risks that need to be addressed base on its impact and probability.</w:t>
      </w:r>
    </w:p>
    <w:p w14:paraId="265E2893" w14:textId="77777777" w:rsidR="00A85759" w:rsidRPr="0075307C" w:rsidRDefault="00A85759" w:rsidP="00A8575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5307C">
        <w:rPr>
          <w:sz w:val="20"/>
        </w:rPr>
        <w:t xml:space="preserve">Risk Planning is the process to plan the reaction to a risk occurrence. This step lays out the plans on how to handle and react to an occurring risk. It is very important because a timely and correct reaction can help to reduce the risk impact to the minimum when risk occurs. </w:t>
      </w:r>
    </w:p>
    <w:p w14:paraId="05475BFC" w14:textId="77777777" w:rsidR="00A85759" w:rsidRPr="0075307C" w:rsidRDefault="00A85759" w:rsidP="00A85759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5307C">
        <w:rPr>
          <w:sz w:val="20"/>
        </w:rPr>
        <w:t>Risk monitoring is a continuous action that oversee the project in case of risks occur. A good risk monitoring process help the group respond to a risk in a timely matter.</w:t>
      </w:r>
    </w:p>
    <w:p w14:paraId="1559040F" w14:textId="77777777" w:rsidR="00614AE5" w:rsidRDefault="00614AE5" w:rsidP="00946156">
      <w:pPr>
        <w:rPr>
          <w:sz w:val="20"/>
        </w:rPr>
      </w:pPr>
    </w:p>
    <w:p w14:paraId="75E1BFCC" w14:textId="35F86575" w:rsidR="00946156" w:rsidRPr="00336941" w:rsidRDefault="00946156" w:rsidP="00946156">
      <w:pPr>
        <w:rPr>
          <w:b/>
          <w:bCs/>
          <w:sz w:val="20"/>
        </w:rPr>
      </w:pPr>
      <w:r>
        <w:rPr>
          <w:b/>
          <w:bCs/>
          <w:sz w:val="20"/>
        </w:rPr>
        <w:t>Project</w:t>
      </w:r>
      <w:r w:rsidRPr="00336941">
        <w:rPr>
          <w:b/>
          <w:bCs/>
          <w:sz w:val="20"/>
        </w:rPr>
        <w:t xml:space="preserve"> Risk:</w:t>
      </w:r>
    </w:p>
    <w:tbl>
      <w:tblPr>
        <w:tblStyle w:val="LightList"/>
        <w:tblW w:w="9250" w:type="dxa"/>
        <w:tblLook w:val="04A0" w:firstRow="1" w:lastRow="0" w:firstColumn="1" w:lastColumn="0" w:noHBand="0" w:noVBand="1"/>
      </w:tblPr>
      <w:tblGrid>
        <w:gridCol w:w="1989"/>
        <w:gridCol w:w="2023"/>
        <w:gridCol w:w="2024"/>
        <w:gridCol w:w="3214"/>
      </w:tblGrid>
      <w:tr w:rsidR="00946156" w:rsidRPr="001A409A" w14:paraId="56059156" w14:textId="77777777" w:rsidTr="007E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bottom w:val="single" w:sz="8" w:space="0" w:color="000000" w:themeColor="text1"/>
              <w:right w:val="single" w:sz="4" w:space="0" w:color="auto"/>
            </w:tcBorders>
            <w:shd w:val="clear" w:color="auto" w:fill="C5C2C2" w:themeFill="background2" w:themeFillShade="D9"/>
          </w:tcPr>
          <w:p w14:paraId="7087EA1B" w14:textId="77777777" w:rsidR="00946156" w:rsidRPr="001A409A" w:rsidRDefault="00946156" w:rsidP="007E4860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Risk</w:t>
            </w:r>
          </w:p>
        </w:tc>
        <w:tc>
          <w:tcPr>
            <w:tcW w:w="2023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C5C2C2" w:themeFill="background2" w:themeFillShade="D9"/>
          </w:tcPr>
          <w:p w14:paraId="292D131C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Probability</w:t>
            </w:r>
          </w:p>
        </w:tc>
        <w:tc>
          <w:tcPr>
            <w:tcW w:w="2024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C5C2C2" w:themeFill="background2" w:themeFillShade="D9"/>
          </w:tcPr>
          <w:p w14:paraId="4142D20B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Impact</w:t>
            </w:r>
          </w:p>
        </w:tc>
        <w:tc>
          <w:tcPr>
            <w:tcW w:w="3214" w:type="dxa"/>
            <w:tcBorders>
              <w:left w:val="single" w:sz="4" w:space="0" w:color="auto"/>
              <w:bottom w:val="single" w:sz="8" w:space="0" w:color="000000" w:themeColor="text1"/>
            </w:tcBorders>
            <w:shd w:val="clear" w:color="auto" w:fill="C5C2C2" w:themeFill="background2" w:themeFillShade="D9"/>
          </w:tcPr>
          <w:p w14:paraId="3B80C4AA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Mitigation Method</w:t>
            </w:r>
          </w:p>
        </w:tc>
      </w:tr>
      <w:tr w:rsidR="00946156" w:rsidRPr="00F31969" w14:paraId="56FAD38F" w14:textId="77777777" w:rsidTr="007E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bottom w:val="single" w:sz="4" w:space="0" w:color="auto"/>
              <w:right w:val="single" w:sz="4" w:space="0" w:color="auto"/>
            </w:tcBorders>
          </w:tcPr>
          <w:p w14:paraId="2EA57971" w14:textId="622C1AC6" w:rsidR="00946156" w:rsidRPr="00F31969" w:rsidRDefault="00946156" w:rsidP="007E4860">
            <w:pPr>
              <w:rPr>
                <w:b w:val="0"/>
                <w:bCs w:val="0"/>
                <w:sz w:val="20"/>
              </w:rPr>
            </w:pPr>
            <w:r w:rsidRPr="00F31969">
              <w:rPr>
                <w:b w:val="0"/>
                <w:bCs w:val="0"/>
                <w:sz w:val="20"/>
              </w:rPr>
              <w:t>Loss of talents and core staffs</w:t>
            </w:r>
            <w:r>
              <w:rPr>
                <w:b w:val="0"/>
                <w:bCs w:val="0"/>
                <w:sz w:val="20"/>
              </w:rPr>
              <w:t xml:space="preserve"> / Team Reconstruction</w:t>
            </w:r>
          </w:p>
        </w:tc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BECB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3F2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14" w:type="dxa"/>
            <w:tcBorders>
              <w:left w:val="single" w:sz="4" w:space="0" w:color="auto"/>
              <w:bottom w:val="single" w:sz="4" w:space="0" w:color="auto"/>
            </w:tcBorders>
          </w:tcPr>
          <w:p w14:paraId="09B3EF95" w14:textId="77777777" w:rsidR="00946156" w:rsidRPr="00336941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 w:eastAsia="zh-CN"/>
              </w:rPr>
            </w:pPr>
            <w:r>
              <w:rPr>
                <w:sz w:val="20"/>
              </w:rPr>
              <w:t>Maintaining a competitive compensation plans and periodic</w:t>
            </w:r>
            <w:r>
              <w:rPr>
                <w:sz w:val="20"/>
                <w:lang w:val="en-US"/>
              </w:rPr>
              <w:t xml:space="preserve"> check in with employees</w:t>
            </w:r>
          </w:p>
        </w:tc>
      </w:tr>
    </w:tbl>
    <w:p w14:paraId="6F930A22" w14:textId="77777777" w:rsidR="00946156" w:rsidRPr="00461AFE" w:rsidRDefault="00946156" w:rsidP="00946156">
      <w:pPr>
        <w:rPr>
          <w:sz w:val="2"/>
        </w:rPr>
      </w:pPr>
    </w:p>
    <w:p w14:paraId="76F8BDD9" w14:textId="77777777" w:rsidR="00946156" w:rsidRPr="003D7804" w:rsidRDefault="00946156" w:rsidP="00946156">
      <w:pPr>
        <w:spacing w:after="0"/>
        <w:rPr>
          <w:b/>
          <w:bCs/>
          <w:sz w:val="20"/>
        </w:rPr>
      </w:pPr>
      <w:r w:rsidRPr="003D7804">
        <w:rPr>
          <w:b/>
          <w:bCs/>
          <w:sz w:val="20"/>
        </w:rPr>
        <w:t>Product Risk:</w:t>
      </w:r>
    </w:p>
    <w:tbl>
      <w:tblPr>
        <w:tblStyle w:val="LightList"/>
        <w:tblW w:w="9250" w:type="dxa"/>
        <w:tblLook w:val="04A0" w:firstRow="1" w:lastRow="0" w:firstColumn="1" w:lastColumn="0" w:noHBand="0" w:noVBand="1"/>
      </w:tblPr>
      <w:tblGrid>
        <w:gridCol w:w="1989"/>
        <w:gridCol w:w="2023"/>
        <w:gridCol w:w="2024"/>
        <w:gridCol w:w="3214"/>
      </w:tblGrid>
      <w:tr w:rsidR="00946156" w:rsidRPr="001A409A" w14:paraId="00A599ED" w14:textId="77777777" w:rsidTr="007E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  <w:shd w:val="clear" w:color="auto" w:fill="C5C2C2" w:themeFill="background2" w:themeFillShade="D9"/>
          </w:tcPr>
          <w:p w14:paraId="3F9825A5" w14:textId="77777777" w:rsidR="00946156" w:rsidRPr="001A409A" w:rsidRDefault="00946156" w:rsidP="007E4860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Risk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C2C2" w:themeFill="background2" w:themeFillShade="D9"/>
          </w:tcPr>
          <w:p w14:paraId="4AE8EF80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Probability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  <w:shd w:val="clear" w:color="auto" w:fill="C5C2C2" w:themeFill="background2" w:themeFillShade="D9"/>
          </w:tcPr>
          <w:p w14:paraId="6538E30E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Impact</w:t>
            </w:r>
          </w:p>
        </w:tc>
        <w:tc>
          <w:tcPr>
            <w:tcW w:w="3214" w:type="dxa"/>
            <w:tcBorders>
              <w:left w:val="single" w:sz="4" w:space="0" w:color="auto"/>
            </w:tcBorders>
            <w:shd w:val="clear" w:color="auto" w:fill="C5C2C2" w:themeFill="background2" w:themeFillShade="D9"/>
          </w:tcPr>
          <w:p w14:paraId="526B7CF5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Mitigation Method</w:t>
            </w:r>
          </w:p>
        </w:tc>
      </w:tr>
      <w:tr w:rsidR="00946156" w:rsidRPr="001A409A" w14:paraId="144AE9F4" w14:textId="77777777" w:rsidTr="007E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</w:tcPr>
          <w:p w14:paraId="6C0EC12F" w14:textId="77777777" w:rsidR="00946156" w:rsidRPr="00336941" w:rsidRDefault="00946156" w:rsidP="007E4860">
            <w:pPr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Application or system failure or Corruption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</w:tcPr>
          <w:p w14:paraId="0D1608BC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14:paraId="2159DF74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14" w:type="dxa"/>
            <w:tcBorders>
              <w:left w:val="single" w:sz="4" w:space="0" w:color="auto"/>
            </w:tcBorders>
          </w:tcPr>
          <w:p w14:paraId="0FDE1FBD" w14:textId="77777777" w:rsidR="00946156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Maintaining constant backup of the system and database;</w:t>
            </w:r>
          </w:p>
          <w:p w14:paraId="57744AC9" w14:textId="77777777" w:rsidR="00946156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Continuously monitor online application and its resource utilization rate;</w:t>
            </w:r>
          </w:p>
          <w:p w14:paraId="2365D28B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Have an on-call team in place to immediately react to issues 24/7;</w:t>
            </w:r>
          </w:p>
        </w:tc>
      </w:tr>
      <w:tr w:rsidR="00946156" w:rsidRPr="001A409A" w14:paraId="4E090AFD" w14:textId="77777777" w:rsidTr="007E4860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</w:tcPr>
          <w:p w14:paraId="18FDE5BF" w14:textId="77777777" w:rsidR="00946156" w:rsidRPr="00336941" w:rsidRDefault="00946156" w:rsidP="007E4860">
            <w:pPr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lastRenderedPageBreak/>
              <w:t>Outdated technologies and skill sets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</w:tcPr>
          <w:p w14:paraId="5F639B63" w14:textId="77777777" w:rsidR="00946156" w:rsidRPr="001A409A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14:paraId="0B4D1E5A" w14:textId="77777777" w:rsidR="00946156" w:rsidRPr="001A409A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14" w:type="dxa"/>
            <w:tcBorders>
              <w:left w:val="single" w:sz="4" w:space="0" w:color="auto"/>
            </w:tcBorders>
          </w:tcPr>
          <w:p w14:paraId="28922010" w14:textId="77777777" w:rsidR="00946156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Implementing education program to help staffs maintain up to date skill sets;</w:t>
            </w:r>
          </w:p>
          <w:p w14:paraId="08E4D697" w14:textId="77777777" w:rsidR="00946156" w:rsidRPr="001A409A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Constant research on new technologies and push updates;</w:t>
            </w:r>
          </w:p>
        </w:tc>
      </w:tr>
      <w:tr w:rsidR="00946156" w:rsidRPr="001A409A" w14:paraId="18DE7C9C" w14:textId="77777777" w:rsidTr="007E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</w:tcPr>
          <w:p w14:paraId="4BF76539" w14:textId="77777777" w:rsidR="00946156" w:rsidRPr="00336941" w:rsidRDefault="00946156" w:rsidP="007E4860">
            <w:pPr>
              <w:rPr>
                <w:b w:val="0"/>
                <w:bCs w:val="0"/>
                <w:sz w:val="20"/>
              </w:rPr>
            </w:pPr>
            <w:r w:rsidRPr="00336941">
              <w:rPr>
                <w:b w:val="0"/>
                <w:bCs w:val="0"/>
                <w:sz w:val="20"/>
              </w:rPr>
              <w:t>Data securities and privacy issues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</w:tcPr>
          <w:p w14:paraId="6CF32953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14:paraId="47854B64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14" w:type="dxa"/>
            <w:tcBorders>
              <w:left w:val="single" w:sz="4" w:space="0" w:color="auto"/>
            </w:tcBorders>
          </w:tcPr>
          <w:p w14:paraId="5FAA0714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Maintain up to date cybersecurity technologies and maintain sensitive dates in secure environments</w:t>
            </w:r>
          </w:p>
        </w:tc>
      </w:tr>
    </w:tbl>
    <w:p w14:paraId="2A5F2731" w14:textId="77777777" w:rsidR="00946156" w:rsidRDefault="00946156" w:rsidP="00946156">
      <w:pPr>
        <w:spacing w:after="0"/>
        <w:rPr>
          <w:sz w:val="20"/>
        </w:rPr>
      </w:pPr>
    </w:p>
    <w:p w14:paraId="1F6F5752" w14:textId="77777777" w:rsidR="00946156" w:rsidRPr="00336941" w:rsidRDefault="00946156" w:rsidP="00946156">
      <w:pPr>
        <w:rPr>
          <w:b/>
          <w:bCs/>
          <w:sz w:val="20"/>
        </w:rPr>
      </w:pPr>
      <w:r>
        <w:rPr>
          <w:b/>
          <w:bCs/>
          <w:sz w:val="20"/>
        </w:rPr>
        <w:t>Business</w:t>
      </w:r>
      <w:r w:rsidRPr="00336941">
        <w:rPr>
          <w:b/>
          <w:bCs/>
          <w:sz w:val="20"/>
        </w:rPr>
        <w:t xml:space="preserve"> Risk:</w:t>
      </w:r>
    </w:p>
    <w:tbl>
      <w:tblPr>
        <w:tblStyle w:val="LightList"/>
        <w:tblW w:w="9250" w:type="dxa"/>
        <w:tblLook w:val="04A0" w:firstRow="1" w:lastRow="0" w:firstColumn="1" w:lastColumn="0" w:noHBand="0" w:noVBand="1"/>
      </w:tblPr>
      <w:tblGrid>
        <w:gridCol w:w="1989"/>
        <w:gridCol w:w="2023"/>
        <w:gridCol w:w="2024"/>
        <w:gridCol w:w="3214"/>
      </w:tblGrid>
      <w:tr w:rsidR="00946156" w:rsidRPr="001A409A" w14:paraId="469B7A59" w14:textId="77777777" w:rsidTr="007E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  <w:shd w:val="clear" w:color="auto" w:fill="C5C2C2" w:themeFill="background2" w:themeFillShade="D9"/>
          </w:tcPr>
          <w:p w14:paraId="0D75BA6F" w14:textId="77777777" w:rsidR="00946156" w:rsidRPr="001A409A" w:rsidRDefault="00946156" w:rsidP="007E4860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Risk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C2C2" w:themeFill="background2" w:themeFillShade="D9"/>
          </w:tcPr>
          <w:p w14:paraId="787DFF66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Probability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  <w:shd w:val="clear" w:color="auto" w:fill="C5C2C2" w:themeFill="background2" w:themeFillShade="D9"/>
          </w:tcPr>
          <w:p w14:paraId="14BBEC69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Impact</w:t>
            </w:r>
          </w:p>
        </w:tc>
        <w:tc>
          <w:tcPr>
            <w:tcW w:w="3214" w:type="dxa"/>
            <w:tcBorders>
              <w:left w:val="single" w:sz="4" w:space="0" w:color="auto"/>
            </w:tcBorders>
            <w:shd w:val="clear" w:color="auto" w:fill="C5C2C2" w:themeFill="background2" w:themeFillShade="D9"/>
          </w:tcPr>
          <w:p w14:paraId="08693178" w14:textId="77777777" w:rsidR="00946156" w:rsidRPr="001A409A" w:rsidRDefault="00946156" w:rsidP="007E4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Mitigation Method</w:t>
            </w:r>
          </w:p>
        </w:tc>
      </w:tr>
      <w:tr w:rsidR="00946156" w:rsidRPr="00F31969" w14:paraId="4F7706D2" w14:textId="77777777" w:rsidTr="007E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</w:tcPr>
          <w:p w14:paraId="55B1732F" w14:textId="77777777" w:rsidR="00946156" w:rsidRPr="00F31969" w:rsidRDefault="00946156" w:rsidP="007E4860">
            <w:pPr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Misleading Product Information  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</w:tcPr>
          <w:p w14:paraId="139CBD86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14:paraId="7F1F8349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14" w:type="dxa"/>
            <w:tcBorders>
              <w:left w:val="single" w:sz="4" w:space="0" w:color="auto"/>
            </w:tcBorders>
          </w:tcPr>
          <w:p w14:paraId="76FC7DE7" w14:textId="77777777" w:rsidR="00946156" w:rsidRPr="00567FE5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Implement policies that promote honesty and punish fraudulent actions;</w:t>
            </w:r>
          </w:p>
        </w:tc>
      </w:tr>
      <w:tr w:rsidR="00946156" w:rsidRPr="001A409A" w14:paraId="676A2C8F" w14:textId="77777777" w:rsidTr="007E4860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</w:tcPr>
          <w:p w14:paraId="244D8287" w14:textId="77777777" w:rsidR="00946156" w:rsidRPr="00336941" w:rsidRDefault="00946156" w:rsidP="007E4860">
            <w:pPr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Shipment and transportation Issues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</w:tcPr>
          <w:p w14:paraId="4C953F85" w14:textId="77777777" w:rsidR="00946156" w:rsidRPr="001A409A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14:paraId="14B2C04A" w14:textId="77777777" w:rsidR="00946156" w:rsidRPr="001A409A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214" w:type="dxa"/>
            <w:tcBorders>
              <w:left w:val="single" w:sz="4" w:space="0" w:color="auto"/>
            </w:tcBorders>
          </w:tcPr>
          <w:p w14:paraId="28878ABC" w14:textId="77777777" w:rsidR="00946156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Establish contract with third party shipment agencies and custom clearance agencies;</w:t>
            </w:r>
          </w:p>
          <w:p w14:paraId="72E21C72" w14:textId="77777777" w:rsidR="00946156" w:rsidRPr="001A409A" w:rsidRDefault="00946156" w:rsidP="007E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Offer additional insurance option for buyers;</w:t>
            </w:r>
          </w:p>
        </w:tc>
      </w:tr>
      <w:tr w:rsidR="00946156" w:rsidRPr="00AA1B38" w14:paraId="057E7563" w14:textId="77777777" w:rsidTr="007E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right w:val="single" w:sz="4" w:space="0" w:color="auto"/>
            </w:tcBorders>
          </w:tcPr>
          <w:p w14:paraId="6F3C608F" w14:textId="77777777" w:rsidR="00946156" w:rsidRPr="00336941" w:rsidRDefault="00946156" w:rsidP="007E4860">
            <w:pPr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Fraudulent Seller</w:t>
            </w:r>
          </w:p>
        </w:tc>
        <w:tc>
          <w:tcPr>
            <w:tcW w:w="2023" w:type="dxa"/>
            <w:tcBorders>
              <w:left w:val="single" w:sz="4" w:space="0" w:color="auto"/>
              <w:right w:val="single" w:sz="4" w:space="0" w:color="auto"/>
            </w:tcBorders>
          </w:tcPr>
          <w:p w14:paraId="7A513C64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14:paraId="1986BEA4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214" w:type="dxa"/>
            <w:tcBorders>
              <w:left w:val="single" w:sz="4" w:space="0" w:color="auto"/>
            </w:tcBorders>
          </w:tcPr>
          <w:p w14:paraId="614C6C39" w14:textId="77777777" w:rsidR="00946156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Implement policy that payments to sellers are distributed in instalments over a reasonable period;</w:t>
            </w:r>
          </w:p>
          <w:p w14:paraId="4BE0ADF5" w14:textId="77777777" w:rsidR="00946156" w:rsidRPr="001A409A" w:rsidRDefault="00946156" w:rsidP="007E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Actively Investigate claimed fraudulent actions and permanently ban dishonest seller;</w:t>
            </w:r>
          </w:p>
        </w:tc>
      </w:tr>
    </w:tbl>
    <w:p w14:paraId="5F6A0139" w14:textId="77777777" w:rsidR="00946156" w:rsidRDefault="00946156" w:rsidP="00946156">
      <w:pPr>
        <w:spacing w:after="0"/>
        <w:rPr>
          <w:sz w:val="20"/>
        </w:rPr>
      </w:pPr>
    </w:p>
    <w:p w14:paraId="042884ED" w14:textId="77777777" w:rsidR="006E4112" w:rsidRDefault="006E4112" w:rsidP="00946156">
      <w:pPr>
        <w:spacing w:after="0"/>
        <w:rPr>
          <w:sz w:val="20"/>
        </w:rPr>
      </w:pPr>
      <w:bookmarkStart w:id="1" w:name="_GoBack"/>
      <w:bookmarkEnd w:id="1"/>
    </w:p>
    <w:p w14:paraId="5718F9D4" w14:textId="77777777" w:rsidR="00946156" w:rsidRDefault="00946156" w:rsidP="00946156">
      <w:pPr>
        <w:spacing w:after="0"/>
        <w:rPr>
          <w:sz w:val="20"/>
        </w:rPr>
      </w:pPr>
      <w:r>
        <w:rPr>
          <w:sz w:val="20"/>
        </w:rPr>
        <w:t>We will use the following as our main strategies during the project development:</w:t>
      </w:r>
    </w:p>
    <w:p w14:paraId="743528AF" w14:textId="77777777" w:rsidR="00946156" w:rsidRDefault="00946156" w:rsidP="00946156">
      <w:pPr>
        <w:spacing w:after="0"/>
        <w:rPr>
          <w:sz w:val="20"/>
        </w:rPr>
      </w:pPr>
    </w:p>
    <w:p w14:paraId="3666A647" w14:textId="661F55A0" w:rsidR="00946156" w:rsidRPr="0075307C" w:rsidRDefault="00946156" w:rsidP="00946156">
      <w:pPr>
        <w:pStyle w:val="ListParagraph"/>
        <w:numPr>
          <w:ilvl w:val="0"/>
          <w:numId w:val="2"/>
        </w:numPr>
        <w:spacing w:after="0"/>
        <w:rPr>
          <w:b/>
          <w:bCs/>
          <w:sz w:val="20"/>
        </w:rPr>
      </w:pPr>
      <w:r w:rsidRPr="0075307C">
        <w:rPr>
          <w:b/>
          <w:bCs/>
          <w:sz w:val="20"/>
        </w:rPr>
        <w:t>Risk Avoidance strateg</w:t>
      </w:r>
      <w:r>
        <w:rPr>
          <w:b/>
          <w:bCs/>
          <w:sz w:val="20"/>
        </w:rPr>
        <w:t>y</w:t>
      </w:r>
      <w:r w:rsidRPr="0075307C">
        <w:rPr>
          <w:b/>
          <w:bCs/>
          <w:sz w:val="20"/>
        </w:rPr>
        <w:t>:</w:t>
      </w:r>
      <w:r>
        <w:rPr>
          <w:b/>
          <w:bCs/>
          <w:sz w:val="20"/>
        </w:rPr>
        <w:t xml:space="preserve"> </w:t>
      </w:r>
      <w:r>
        <w:rPr>
          <w:sz w:val="20"/>
        </w:rPr>
        <w:t xml:space="preserve"> we want to avoid risk before it occurs. We establish and implement methods and policies that can help us avoid risk</w:t>
      </w:r>
      <w:r w:rsidR="00667579">
        <w:rPr>
          <w:sz w:val="20"/>
        </w:rPr>
        <w:t>s</w:t>
      </w:r>
      <w:r>
        <w:rPr>
          <w:sz w:val="20"/>
        </w:rPr>
        <w:t xml:space="preserve"> before </w:t>
      </w:r>
      <w:r w:rsidR="00667579">
        <w:rPr>
          <w:sz w:val="20"/>
        </w:rPr>
        <w:t>occurrences</w:t>
      </w:r>
      <w:r>
        <w:rPr>
          <w:sz w:val="20"/>
        </w:rPr>
        <w:t xml:space="preserve">. </w:t>
      </w:r>
      <w:r w:rsidR="00667579">
        <w:rPr>
          <w:sz w:val="20"/>
        </w:rPr>
        <w:t>For example, w</w:t>
      </w:r>
      <w:r>
        <w:rPr>
          <w:sz w:val="20"/>
        </w:rPr>
        <w:t xml:space="preserve">e understand that product shipments require significant resources and we are unable to step into that industry. We want to avoid </w:t>
      </w:r>
      <w:r>
        <w:rPr>
          <w:sz w:val="20"/>
        </w:rPr>
        <w:lastRenderedPageBreak/>
        <w:t>the risk of lost</w:t>
      </w:r>
      <w:r w:rsidR="00667579">
        <w:rPr>
          <w:sz w:val="20"/>
        </w:rPr>
        <w:t>/damaged</w:t>
      </w:r>
      <w:r>
        <w:rPr>
          <w:sz w:val="20"/>
        </w:rPr>
        <w:t xml:space="preserve"> </w:t>
      </w:r>
      <w:r w:rsidR="00667579">
        <w:rPr>
          <w:sz w:val="20"/>
        </w:rPr>
        <w:t>packages</w:t>
      </w:r>
      <w:r>
        <w:rPr>
          <w:sz w:val="20"/>
        </w:rPr>
        <w:t xml:space="preserve"> and custom clearance issues. Thus, we partner with third parties to avoid those risks.</w:t>
      </w:r>
    </w:p>
    <w:p w14:paraId="1B05D06E" w14:textId="6871FB58" w:rsidR="00946156" w:rsidRPr="00723EDE" w:rsidRDefault="00946156" w:rsidP="00946156">
      <w:pPr>
        <w:pStyle w:val="ListParagraph"/>
        <w:numPr>
          <w:ilvl w:val="0"/>
          <w:numId w:val="2"/>
        </w:numPr>
        <w:spacing w:after="0"/>
        <w:rPr>
          <w:b/>
          <w:bCs/>
          <w:sz w:val="20"/>
        </w:rPr>
      </w:pPr>
      <w:r>
        <w:rPr>
          <w:b/>
          <w:bCs/>
          <w:sz w:val="20"/>
        </w:rPr>
        <w:t xml:space="preserve">Risk Control / Mitigation: </w:t>
      </w:r>
      <w:r>
        <w:rPr>
          <w:sz w:val="20"/>
        </w:rPr>
        <w:t xml:space="preserve">in </w:t>
      </w:r>
      <w:r w:rsidR="00667579">
        <w:rPr>
          <w:sz w:val="20"/>
        </w:rPr>
        <w:t>situation</w:t>
      </w:r>
      <w:r>
        <w:rPr>
          <w:sz w:val="20"/>
        </w:rPr>
        <w:t xml:space="preserve"> where we cannot avoid the probably of risk </w:t>
      </w:r>
      <w:r w:rsidR="00667579">
        <w:rPr>
          <w:sz w:val="20"/>
        </w:rPr>
        <w:t>occurrences</w:t>
      </w:r>
      <w:r>
        <w:rPr>
          <w:sz w:val="20"/>
        </w:rPr>
        <w:t xml:space="preserve">, we </w:t>
      </w:r>
      <w:r w:rsidR="00667579">
        <w:rPr>
          <w:sz w:val="20"/>
        </w:rPr>
        <w:t xml:space="preserve">establish </w:t>
      </w:r>
      <w:r>
        <w:rPr>
          <w:sz w:val="20"/>
        </w:rPr>
        <w:t xml:space="preserve">policies to timely control the impact to the minimum. </w:t>
      </w:r>
      <w:r w:rsidR="00667579">
        <w:rPr>
          <w:sz w:val="20"/>
        </w:rPr>
        <w:t>For instance, w</w:t>
      </w:r>
      <w:r>
        <w:rPr>
          <w:sz w:val="20"/>
        </w:rPr>
        <w:t xml:space="preserve">e understand </w:t>
      </w:r>
      <w:r w:rsidR="00667579">
        <w:rPr>
          <w:sz w:val="20"/>
        </w:rPr>
        <w:t xml:space="preserve">that </w:t>
      </w:r>
      <w:r>
        <w:rPr>
          <w:sz w:val="20"/>
        </w:rPr>
        <w:t>we cannot avoid dishonest sellers</w:t>
      </w:r>
      <w:r w:rsidR="00667579">
        <w:rPr>
          <w:sz w:val="20"/>
        </w:rPr>
        <w:t xml:space="preserve"> completely</w:t>
      </w:r>
      <w:r>
        <w:rPr>
          <w:sz w:val="20"/>
        </w:rPr>
        <w:t xml:space="preserve">. We </w:t>
      </w:r>
      <w:r w:rsidR="00667579">
        <w:rPr>
          <w:sz w:val="20"/>
        </w:rPr>
        <w:t xml:space="preserve">set </w:t>
      </w:r>
      <w:r>
        <w:rPr>
          <w:sz w:val="20"/>
        </w:rPr>
        <w:t xml:space="preserve">policies to </w:t>
      </w:r>
      <w:r w:rsidR="00667579">
        <w:rPr>
          <w:sz w:val="20"/>
        </w:rPr>
        <w:t>minimize</w:t>
      </w:r>
      <w:r>
        <w:rPr>
          <w:sz w:val="20"/>
        </w:rPr>
        <w:t xml:space="preserve"> the negative impact of dishonest seller</w:t>
      </w:r>
      <w:r w:rsidR="00667579">
        <w:rPr>
          <w:sz w:val="20"/>
        </w:rPr>
        <w:t>s</w:t>
      </w:r>
      <w:r>
        <w:rPr>
          <w:sz w:val="20"/>
        </w:rPr>
        <w:t>.</w:t>
      </w:r>
    </w:p>
    <w:p w14:paraId="4919CF3F" w14:textId="36B78605" w:rsidR="00946156" w:rsidRPr="00723EDE" w:rsidRDefault="00946156" w:rsidP="00946156">
      <w:pPr>
        <w:pStyle w:val="ListParagraph"/>
        <w:numPr>
          <w:ilvl w:val="0"/>
          <w:numId w:val="2"/>
        </w:numPr>
        <w:spacing w:after="0"/>
        <w:rPr>
          <w:b/>
          <w:bCs/>
          <w:sz w:val="20"/>
        </w:rPr>
      </w:pPr>
      <w:r>
        <w:rPr>
          <w:b/>
          <w:bCs/>
          <w:sz w:val="20"/>
        </w:rPr>
        <w:t xml:space="preserve">Accept Risk: </w:t>
      </w:r>
      <w:r>
        <w:rPr>
          <w:sz w:val="20"/>
        </w:rPr>
        <w:t xml:space="preserve">in case of risk that cannot be avoid, we accept </w:t>
      </w:r>
      <w:r w:rsidR="00667579">
        <w:rPr>
          <w:sz w:val="20"/>
        </w:rPr>
        <w:t>such</w:t>
      </w:r>
      <w:r>
        <w:rPr>
          <w:sz w:val="20"/>
        </w:rPr>
        <w:t xml:space="preserve"> risk and budget for its occurrences. For example, we accept the risk of outdated technologies. We budget for technology conferences and periodic training for our development teams.</w:t>
      </w:r>
    </w:p>
    <w:p w14:paraId="7E308211" w14:textId="3E043EB3" w:rsidR="00946156" w:rsidRPr="00723EDE" w:rsidRDefault="00946156" w:rsidP="00946156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723EDE">
        <w:rPr>
          <w:b/>
          <w:bCs/>
          <w:sz w:val="20"/>
        </w:rPr>
        <w:t xml:space="preserve">Transfer Risk: </w:t>
      </w:r>
      <w:r>
        <w:rPr>
          <w:sz w:val="20"/>
        </w:rPr>
        <w:t>we partner with third part</w:t>
      </w:r>
      <w:r w:rsidR="007C5D4C">
        <w:rPr>
          <w:sz w:val="20"/>
        </w:rPr>
        <w:t>ies</w:t>
      </w:r>
      <w:r>
        <w:rPr>
          <w:sz w:val="20"/>
        </w:rPr>
        <w:t xml:space="preserve"> to transfer some of the risk</w:t>
      </w:r>
      <w:r w:rsidR="00853A8E">
        <w:rPr>
          <w:sz w:val="20"/>
        </w:rPr>
        <w:t>s</w:t>
      </w:r>
      <w:r>
        <w:rPr>
          <w:sz w:val="20"/>
        </w:rPr>
        <w:t xml:space="preserve">. For example, we outsource shipment to shipping companies and custom clearance </w:t>
      </w:r>
      <w:r w:rsidR="00853A8E">
        <w:rPr>
          <w:sz w:val="20"/>
        </w:rPr>
        <w:t xml:space="preserve">duty </w:t>
      </w:r>
      <w:r>
        <w:rPr>
          <w:sz w:val="20"/>
        </w:rPr>
        <w:t xml:space="preserve">to custom clearance </w:t>
      </w:r>
      <w:r w:rsidR="00667579">
        <w:rPr>
          <w:sz w:val="20"/>
        </w:rPr>
        <w:t>agencies</w:t>
      </w:r>
      <w:r>
        <w:rPr>
          <w:sz w:val="20"/>
        </w:rPr>
        <w:t xml:space="preserve">. In case of </w:t>
      </w:r>
      <w:r w:rsidR="00853A8E">
        <w:rPr>
          <w:sz w:val="20"/>
        </w:rPr>
        <w:t>lost</w:t>
      </w:r>
      <w:r w:rsidR="00667579">
        <w:rPr>
          <w:sz w:val="20"/>
        </w:rPr>
        <w:t xml:space="preserve">/damaged </w:t>
      </w:r>
      <w:r>
        <w:rPr>
          <w:sz w:val="20"/>
        </w:rPr>
        <w:t>package</w:t>
      </w:r>
      <w:r w:rsidR="00853A8E">
        <w:rPr>
          <w:sz w:val="20"/>
        </w:rPr>
        <w:t>s</w:t>
      </w:r>
      <w:r>
        <w:rPr>
          <w:sz w:val="20"/>
        </w:rPr>
        <w:t xml:space="preserve"> or custom clearance </w:t>
      </w:r>
      <w:r w:rsidR="00667579">
        <w:rPr>
          <w:sz w:val="20"/>
        </w:rPr>
        <w:t>problems</w:t>
      </w:r>
      <w:r>
        <w:rPr>
          <w:sz w:val="20"/>
        </w:rPr>
        <w:t>, we have the third party liable.</w:t>
      </w:r>
    </w:p>
    <w:p w14:paraId="7657F0AA" w14:textId="77777777" w:rsidR="00B8133D" w:rsidRPr="00946156" w:rsidRDefault="00B8133D">
      <w:pPr>
        <w:rPr>
          <w:lang w:val="en-GB"/>
        </w:rPr>
      </w:pPr>
    </w:p>
    <w:sectPr w:rsidR="00B8133D" w:rsidRPr="0094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52404"/>
    <w:multiLevelType w:val="hybridMultilevel"/>
    <w:tmpl w:val="F228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B0D3E"/>
    <w:multiLevelType w:val="hybridMultilevel"/>
    <w:tmpl w:val="534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3D"/>
    <w:rsid w:val="00614AE5"/>
    <w:rsid w:val="00667579"/>
    <w:rsid w:val="006E4112"/>
    <w:rsid w:val="007C5D4C"/>
    <w:rsid w:val="00853A8E"/>
    <w:rsid w:val="00946156"/>
    <w:rsid w:val="00A85759"/>
    <w:rsid w:val="00B8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2BFE"/>
  <w15:chartTrackingRefBased/>
  <w15:docId w15:val="{5B5DBC35-16EA-455D-ADF5-F09C1B19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615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qFormat/>
    <w:rsid w:val="00946156"/>
    <w:pPr>
      <w:ind w:left="720"/>
      <w:contextualSpacing/>
    </w:pPr>
    <w:rPr>
      <w:lang w:val="en-GB"/>
    </w:rPr>
  </w:style>
  <w:style w:type="table" w:styleId="LightList">
    <w:name w:val="Light List"/>
    <w:basedOn w:val="TableNormal"/>
    <w:uiPriority w:val="61"/>
    <w:rsid w:val="00946156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Scotty</dc:creator>
  <cp:keywords/>
  <dc:description/>
  <cp:lastModifiedBy>Siddharth Jhaveri</cp:lastModifiedBy>
  <cp:revision>8</cp:revision>
  <dcterms:created xsi:type="dcterms:W3CDTF">2020-02-20T00:46:00Z</dcterms:created>
  <dcterms:modified xsi:type="dcterms:W3CDTF">2020-02-24T23:45:00Z</dcterms:modified>
</cp:coreProperties>
</file>