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Kristina added further photos and 24 curated photos across 16 dates from August 2025 to August 2026 are now in the draft timeline. The new selection adds June–August 2026 family, social and couple photos. If available, add one or two photos from March–May 2026 and one or two from September–October 2026; otherwise ask Affinity whether the present coverage is sufficient.</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and uploaded to Google Drive. Ask Affinity whether separate dates and contact evidence are required for the shorter absences involving family events, TAFE excursions and Sydney Bats; add further evidence only if requested or readily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9C4800"/>
          <w:sz w:val="19"/>
        </w:rPr>
        <w:t xml:space="preserve">TO DO  </w:t>
      </w:r>
      <w:r>
        <w:rPr>
          <w:rFonts w:ascii="Aptos" w:hAnsi="Aptos"/>
          <w:b/>
          <w:sz w:val="20"/>
        </w:rPr>
        <w:t>Kristina's superannuation beneficiary evidence</w:t>
      </w:r>
      <w:r>
        <w:rPr>
          <w:rFonts w:ascii="Aptos" w:hAnsi="Aptos"/>
          <w:sz w:val="20"/>
        </w:rPr>
        <w:t xml:space="preserve"> — Scott has personally seen the nomination in Kristina's AustralianSuper account. Log in with Kristina and capture evidence showing Scott as beneficiary; record the nomination type and percentage if displayed.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