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priority actions</w:t>
      </w:r>
    </w:p>
    <w:p>
      <w:r>
        <w:rPr>
          <w:rFonts w:ascii="Aptos" w:hAnsi="Aptos"/>
          <w:sz w:val="20"/>
        </w:rPr>
        <w:t>These are the highest-impact items still requiring work.</w:t>
      </w:r>
    </w:p>
    <w:p>
      <w:pPr>
        <w:keepLines/>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spacing w:after="70"/>
        <w:ind w:left="317" w:hanging="259"/>
      </w:pPr>
      <w:r>
        <w:rPr>
          <w:rFonts w:ascii="Aptos" w:hAnsi="Aptos"/>
          <w:b/>
          <w:color w:val="9C4800"/>
          <w:sz w:val="19"/>
          <w:highlight w:val="yellow"/>
        </w:rPr>
        <w:t xml:space="preserve">TO DO  </w:t>
      </w:r>
      <w:r>
        <w:rPr>
          <w:rFonts w:ascii="Aptos" w:hAnsi="Aptos"/>
          <w:b/>
          <w:sz w:val="20"/>
        </w:rPr>
        <w:t>[P1] Two updated Form 888 witness statements</w:t>
      </w:r>
      <w:r>
        <w:rPr>
          <w:rFonts w:ascii="Aptos" w:hAnsi="Aptos"/>
          <w:sz w:val="20"/>
        </w:rPr>
        <w:t xml:space="preserve"> — obtain updated statements from the intended witnesses; Jaya and Mum are currently tagged.</w:t>
      </w:r>
    </w:p>
    <w:p>
      <w:pPr>
        <w:keepLines/>
        <w:spacing w:after="70"/>
        <w:ind w:left="317" w:hanging="259"/>
      </w:pPr>
      <w:r>
        <w:rPr>
          <w:rFonts w:ascii="Aptos" w:hAnsi="Aptos"/>
          <w:b/>
          <w:color w:val="9C4800"/>
          <w:sz w:val="19"/>
          <w:highlight w:val="yellow"/>
        </w:rPr>
        <w:t xml:space="preserve">TO DO  </w:t>
      </w:r>
      <w:r>
        <w:rPr>
          <w:rFonts w:ascii="Aptos" w:hAnsi="Aptos"/>
          <w:b/>
          <w:sz w:val="20"/>
        </w:rPr>
        <w:t>[P1] Finalise Scott's relationship statement</w:t>
      </w:r>
      <w:r>
        <w:rPr>
          <w:rFonts w:ascii="Aptos" w:hAnsi="Aptos"/>
          <w:sz w:val="20"/>
        </w:rPr>
        <w:t xml:space="preserve"> — review the prepared draft, resolve the remaining factual questions, update the cutoff date, obtain Affinity's review and arrange signing.</w:t>
      </w:r>
    </w:p>
    <w:p>
      <w:pPr>
        <w:keepLines/>
        <w:spacing w:after="70"/>
        <w:ind w:left="317" w:hanging="259"/>
      </w:pPr>
      <w:r>
        <w:rPr>
          <w:rFonts w:ascii="Aptos" w:hAnsi="Aptos"/>
          <w:b/>
          <w:color w:val="9C4800"/>
          <w:sz w:val="19"/>
          <w:highlight w:val="yellow"/>
        </w:rPr>
        <w:t xml:space="preserve">TO DO  </w:t>
      </w:r>
      <w:r>
        <w:rPr>
          <w:rFonts w:ascii="Aptos" w:hAnsi="Aptos"/>
          <w:b/>
          <w:sz w:val="20"/>
        </w:rPr>
        <w:t>[P1] Relationship photo timeline</w:t>
      </w:r>
      <w:r>
        <w:rPr>
          <w:rFonts w:ascii="Aptos" w:hAnsi="Aptos"/>
          <w:sz w:val="20"/>
        </w:rPr>
        <w:t xml:space="preserve"> — the Google Doc exists but is empty. Add approximately two to three photos every two months, in date order, with names and short captions.</w:t>
      </w:r>
    </w:p>
    <w:p>
      <w:pPr>
        <w:keepLines/>
        <w:spacing w:after="70"/>
        <w:ind w:left="317" w:hanging="259"/>
      </w:pPr>
      <w:r>
        <w:rPr>
          <w:rFonts w:ascii="Aptos" w:hAnsi="Aptos"/>
          <w:b/>
          <w:color w:val="9C4800"/>
          <w:sz w:val="19"/>
          <w:highlight w:val="yellow"/>
        </w:rPr>
        <w:t xml:space="preserve">TO DO  </w:t>
      </w:r>
      <w:r>
        <w:rPr>
          <w:rFonts w:ascii="Aptos" w:hAnsi="Aptos"/>
          <w:b/>
          <w:sz w:val="20"/>
        </w:rPr>
        <w:t>[P1] Contact during periods apart</w:t>
      </w:r>
      <w:r>
        <w:rPr>
          <w:rFonts w:ascii="Aptos" w:hAnsi="Aptos"/>
          <w:sz w:val="20"/>
        </w:rPr>
        <w:t xml:space="preserve"> — add dated messages or call records for Bali and any other relevant separations after 24 September 2025.</w:t>
      </w:r>
    </w:p>
    <w:p>
      <w:pPr>
        <w:keepLines/>
        <w:spacing w:after="70"/>
        <w:ind w:left="317" w:hanging="259"/>
      </w:pPr>
      <w:r>
        <w:rPr>
          <w:rFonts w:ascii="Aptos" w:hAnsi="Aptos"/>
          <w:b/>
          <w:color w:val="9C4800"/>
          <w:sz w:val="19"/>
          <w:highlight w:val="yellow"/>
        </w:rPr>
        <w:t xml:space="preserve">TO DO  </w:t>
      </w:r>
      <w:r>
        <w:rPr>
          <w:rFonts w:ascii="Aptos" w:hAnsi="Aptos"/>
          <w:b/>
          <w:sz w:val="20"/>
        </w:rPr>
        <w:t>[P1] Correspondence to both partners at the shared address</w:t>
      </w:r>
      <w:r>
        <w:rPr>
          <w:rFonts w:ascii="Aptos" w:hAnsi="Aptos"/>
          <w:sz w:val="20"/>
        </w:rPr>
        <w:t xml:space="preserve"> — locate letters or mail addressed jointly, or separate correspondence showing both names at the same address.</w:t>
      </w:r>
    </w:p>
    <w:p>
      <w:pPr>
        <w:keepLines/>
        <w:spacing w:after="70"/>
        <w:ind w:left="317" w:hanging="259"/>
      </w:pPr>
      <w:r>
        <w:rPr>
          <w:rFonts w:ascii="Aptos" w:hAnsi="Aptos"/>
          <w:b/>
          <w:color w:val="9C4800"/>
          <w:sz w:val="19"/>
          <w:highlight w:val="yellow"/>
        </w:rPr>
        <w:t xml:space="preserve">TO DO  </w:t>
      </w:r>
      <w:r>
        <w:rPr>
          <w:rFonts w:ascii="Aptos" w:hAnsi="Aptos"/>
          <w:b/>
          <w:sz w:val="20"/>
        </w:rPr>
        <w:t>[P1] Legal commitments</w:t>
      </w:r>
      <w:r>
        <w:rPr>
          <w:rFonts w:ascii="Aptos" w:hAnsi="Aptos"/>
          <w:sz w:val="20"/>
        </w:rPr>
        <w:t xml:space="preserve"> — retrieve both superannuation beneficiary nominations and decide whether any other evidence is relevant.</w:t>
      </w:r>
    </w:p>
    <w:p>
      <w:pPr>
        <w:keepLines/>
        <w:spacing w:after="70"/>
        <w:ind w:left="317" w:hanging="259"/>
      </w:pPr>
      <w:r>
        <w:rPr>
          <w:rFonts w:ascii="Aptos" w:hAnsi="Aptos"/>
          <w:b/>
          <w:color w:val="9C4800"/>
          <w:sz w:val="19"/>
          <w:highlight w:val="yellow"/>
        </w:rPr>
        <w:t xml:space="preserve">TO DO  </w:t>
      </w:r>
      <w:r>
        <w:rPr>
          <w:rFonts w:ascii="Aptos" w:hAnsi="Aptos"/>
          <w:b/>
          <w:sz w:val="20"/>
        </w:rPr>
        <w:t>[P1] Assets and liabilities</w:t>
      </w:r>
      <w:r>
        <w:rPr>
          <w:rFonts w:ascii="Aptos" w:hAnsi="Aptos"/>
          <w:sz w:val="20"/>
        </w:rPr>
        <w:t xml:space="preserve"> — confirm the car purchase month and year and registration or ownership names. Decide whether to include the car insurance, car loan and dog-surgery loan evidence, describing sole-name liabilities accurately.</w:t>
      </w:r>
    </w:p>
    <w:p>
      <w:pPr>
        <w:keepLines/>
        <w:spacing w:after="70"/>
        <w:ind w:left="317" w:hanging="259"/>
      </w:pPr>
      <w:r>
        <w:rPr>
          <w:rFonts w:ascii="Aptos" w:hAnsi="Aptos"/>
          <w:b/>
          <w:color w:val="9C4800"/>
          <w:sz w:val="19"/>
          <w:highlight w:val="yellow"/>
        </w:rPr>
        <w:t xml:space="preserve">TO DO  </w:t>
      </w:r>
      <w:r>
        <w:rPr>
          <w:rFonts w:ascii="Aptos" w:hAnsi="Aptos"/>
          <w:b/>
          <w:sz w:val="20"/>
        </w:rPr>
        <w:t>[P1] Upload and curate the newly gathered evidence</w:t>
      </w:r>
      <w:r>
        <w:rPr>
          <w:rFonts w:ascii="Aptos" w:hAnsi="Aptos"/>
          <w:sz w:val="20"/>
        </w:rPr>
        <w:t xml:space="preserve"> — upload the renamed bank statements, bills, car insurance and licence files to the 801 Google Drive folder, then choose a representative submission set with useful date coverage.</w:t>
      </w:r>
    </w:p>
    <w:p>
      <w:pPr>
        <w:pStyle w:val="Heading1"/>
      </w:pPr>
      <w:r>
        <w:rPr>
          <w:rFonts w:ascii="Aptos" w:hAnsi="Aptos"/>
          <w:sz w:val="30"/>
        </w:rPr>
        <w:t>Completed or gathered since the previous update</w:t>
      </w:r>
    </w:p>
    <w:p>
      <w:pPr>
        <w:keepLines/>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pStyle w:val="Heading1"/>
      </w:pPr>
      <w:r>
        <w:rPr>
          <w:rFonts w:ascii="Aptos" w:hAnsi="Aptos"/>
          <w:sz w:val="30"/>
        </w:rPr>
        <w:t>Visa applicant's identity</w:t>
      </w:r>
    </w:p>
    <w:p>
      <w:pPr>
        <w:keepLines/>
        <w:spacing w:after="70"/>
        <w:ind w:left="317" w:hanging="259"/>
      </w:pPr>
      <w:r>
        <w:rPr>
          <w:rFonts w:ascii="Aptos" w:hAnsi="Aptos"/>
          <w:b/>
          <w:color w:val="9C4800"/>
          <w:sz w:val="19"/>
        </w:rPr>
        <w:t xml:space="preserve">TO DO  </w:t>
      </w:r>
      <w:r>
        <w:rPr>
          <w:rFonts w:ascii="Aptos" w:hAnsi="Aptos"/>
          <w:sz w:val="20"/>
        </w:rPr>
        <w:t>Copy of the biographical pages of current passports of all people included in the application (photo, personal details, issue/expiry dates)</w:t>
      </w:r>
    </w:p>
    <w:p>
      <w:pPr>
        <w:keepLines/>
        <w:spacing w:after="70"/>
        <w:ind w:left="317" w:hanging="259"/>
      </w:pPr>
      <w:r>
        <w:rPr>
          <w:rFonts w:ascii="Aptos" w:hAnsi="Aptos"/>
          <w:b/>
          <w:color w:val="9C4800"/>
          <w:sz w:val="19"/>
        </w:rPr>
        <w:t xml:space="preserve">TO DO  </w:t>
      </w:r>
      <w:r>
        <w:rPr>
          <w:rFonts w:ascii="Aptos" w:hAnsi="Aptos"/>
          <w:sz w:val="20"/>
        </w:rPr>
        <w:t>Copy of national card</w:t>
      </w:r>
    </w:p>
    <w:p>
      <w:pPr>
        <w:keepLines/>
        <w:spacing w:after="70"/>
        <w:ind w:left="706" w:hanging="259"/>
      </w:pPr>
      <w:r>
        <w:rPr>
          <w:rFonts w:ascii="Aptos" w:hAnsi="Aptos"/>
          <w:b/>
          <w:color w:val="9C4800"/>
          <w:sz w:val="19"/>
        </w:rPr>
        <w:t xml:space="preserve">TO DO  </w:t>
      </w:r>
      <w:r>
        <w:rPr>
          <w:rFonts w:ascii="Aptos" w:hAnsi="Aptos"/>
          <w:sz w:val="20"/>
        </w:rPr>
        <w:t>Kristina Bulgarian national ID</w:t>
      </w:r>
    </w:p>
    <w:p>
      <w:pPr>
        <w:keepLines/>
        <w:spacing w:after="70"/>
        <w:ind w:left="317" w:hanging="259"/>
      </w:pPr>
      <w:r>
        <w:rPr>
          <w:rFonts w:ascii="Aptos" w:hAnsi="Aptos"/>
          <w:b/>
          <w:color w:val="9C4800"/>
          <w:sz w:val="19"/>
        </w:rPr>
        <w:t xml:space="preserve">TO DO  </w:t>
      </w:r>
      <w:r>
        <w:rPr>
          <w:rFonts w:ascii="Aptos" w:hAnsi="Aptos"/>
          <w:sz w:val="20"/>
        </w:rPr>
        <w:t>Copy of driver's card</w:t>
      </w:r>
    </w:p>
    <w:p>
      <w:pPr>
        <w:keepLines/>
        <w:spacing w:after="70"/>
        <w:ind w:left="706" w:hanging="259"/>
      </w:pPr>
      <w:r>
        <w:rPr>
          <w:rFonts w:ascii="Aptos" w:hAnsi="Aptos"/>
          <w:b/>
          <w:color w:val="9C4800"/>
          <w:sz w:val="19"/>
        </w:rPr>
        <w:t xml:space="preserve">TO DO  </w:t>
      </w:r>
      <w:r>
        <w:rPr>
          <w:rFonts w:ascii="Aptos" w:hAnsi="Aptos"/>
          <w:sz w:val="20"/>
        </w:rPr>
        <w:t>Kristina's NSW driver's license</w:t>
      </w:r>
    </w:p>
    <w:p>
      <w:pPr>
        <w:keepLines/>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spacing w:after="70"/>
        <w:ind w:left="317" w:hanging="259"/>
      </w:pPr>
      <w:r>
        <w:rPr>
          <w:rFonts w:ascii="Aptos" w:hAnsi="Aptos"/>
          <w:b/>
          <w:color w:val="9C4800"/>
          <w:sz w:val="19"/>
        </w:rPr>
        <w:t xml:space="preserve">TO DO  </w:t>
      </w:r>
      <w:r>
        <w:rPr>
          <w:rFonts w:ascii="Aptos" w:hAnsi="Aptos"/>
          <w:sz w:val="20"/>
        </w:rPr>
        <w:t>Subclass 820 Grant Letter</w:t>
      </w:r>
    </w:p>
    <w:p>
      <w:pPr>
        <w:keepLines/>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(original agency wording says “729”; confirm this correction with Affinity)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spacing w:after="70"/>
        <w:ind w:left="317" w:hanging="259"/>
      </w:pPr>
      <w:r>
        <w:rPr>
          <w:rFonts w:ascii="Aptos" w:hAnsi="Aptos"/>
          <w:b/>
          <w:color w:val="9C4800"/>
          <w:sz w:val="19"/>
          <w:highlight w:val="yellow"/>
        </w:rPr>
        <w:t xml:space="preserve">TO DO  </w:t>
      </w:r>
      <w:r>
        <w:rPr>
          <w:rFonts w:ascii="Aptos" w:hAnsi="Aptos"/>
          <w:sz w:val="20"/>
        </w:rPr>
        <w:t xml:space="preserve">[P1] Evidence of joint ownership or real estate or other major assets (e.g. cars, appliances) and any joint liabilities (loans, mortgages, insurance) - that have been acquired or taken out since Sep 2025 if applicable — </w:t>
      </w:r>
      <w:r>
        <w:rPr>
          <w:rFonts w:ascii="Aptos" w:hAnsi="Aptos"/>
          <w:b/>
          <w:sz w:val="20"/>
        </w:rPr>
        <w:t>PARTIAL: car insurance gathered; ownership and loan evidence still needs confirmation and selection.</w:t>
      </w:r>
    </w:p>
    <w:p>
      <w:pPr>
        <w:keepLines/>
        <w:spacing w:after="70"/>
        <w:ind w:left="706" w:hanging="259"/>
      </w:pPr>
      <w:r>
        <w:rPr>
          <w:rFonts w:ascii="Aptos" w:hAnsi="Aptos"/>
          <w:b/>
          <w:color w:val="9C4800"/>
          <w:sz w:val="19"/>
        </w:rPr>
        <w:t xml:space="preserve">TO DO  </w:t>
      </w:r>
      <w:r>
        <w:rPr>
          <w:rFonts w:ascii="Aptos" w:hAnsi="Aptos"/>
          <w:sz w:val="20"/>
        </w:rPr>
        <w:t>Confirm any jointly owned assets acquired since September 2025, if applicable. Car loan, dog-surgery loan and credit card are confirmed solely in Scott’s name. Confirm the car purchase month/year and registration/ownership names if using it as asset evidence.</w:t>
      </w:r>
    </w:p>
    <w:p>
      <w:pPr>
        <w:keepLines/>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spacing w:after="70"/>
        <w:ind w:left="706" w:hanging="259"/>
      </w:pPr>
      <w:r>
        <w:rPr>
          <w:rFonts w:ascii="Aptos" w:hAnsi="Aptos"/>
          <w:b/>
          <w:color w:val="1A703D"/>
          <w:sz w:val="19"/>
        </w:rPr>
        <w:t xml:space="preserve">DONE  </w:t>
      </w:r>
      <w:r>
        <w:rPr>
          <w:rFonts w:ascii="Aptos" w:hAnsi="Aptos"/>
          <w:sz w:val="20"/>
        </w:rPr>
        <w:t>CBA</w:t>
      </w:r>
    </w:p>
    <w:p>
      <w:pPr>
        <w:keepLines/>
        <w:spacing w:after="70"/>
        <w:ind w:left="706" w:hanging="259"/>
      </w:pPr>
      <w:r>
        <w:rPr>
          <w:rFonts w:ascii="Aptos" w:hAnsi="Aptos"/>
          <w:b/>
          <w:color w:val="1A703D"/>
          <w:sz w:val="19"/>
        </w:rPr>
        <w:t xml:space="preserve">DONE  </w:t>
      </w:r>
      <w:r>
        <w:rPr>
          <w:rFonts w:ascii="Aptos" w:hAnsi="Aptos"/>
          <w:sz w:val="20"/>
        </w:rPr>
        <w:t>2Up</w:t>
      </w:r>
    </w:p>
    <w:p>
      <w:pPr>
        <w:keepLines/>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spacing w:after="70"/>
        <w:ind w:left="317" w:hanging="259"/>
      </w:pPr>
      <w:r>
        <w:rPr>
          <w:rFonts w:ascii="Aptos" w:hAnsi="Aptos"/>
          <w:b/>
          <w:color w:val="9C4800"/>
          <w:sz w:val="19"/>
          <w:highlight w:val="yellow"/>
        </w:rPr>
        <w:t xml:space="preserve">TO DO  </w:t>
      </w:r>
      <w:r>
        <w:rPr>
          <w:rFonts w:ascii="Aptos" w:hAnsi="Aptos"/>
          <w:sz w:val="20"/>
        </w:rPr>
        <w:t xml:space="preserve">[P1] Legal commitments that you and your partner have undertaken as a couple — </w:t>
      </w:r>
      <w:r>
        <w:rPr>
          <w:rFonts w:ascii="Aptos" w:hAnsi="Aptos"/>
          <w:b/>
          <w:sz w:val="20"/>
        </w:rPr>
        <w:t>PARTIAL: joint leases gathered; superannuation beneficiary nominations remain.</w:t>
      </w:r>
    </w:p>
    <w:p>
      <w:pPr>
        <w:keepLines/>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Lines/>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spacing w:after="70"/>
        <w:ind w:left="706" w:hanging="259"/>
      </w:pPr>
      <w:r>
        <w:rPr>
          <w:rFonts w:ascii="Aptos" w:hAnsi="Aptos"/>
          <w:b/>
          <w:color w:val="1A703D"/>
          <w:sz w:val="19"/>
        </w:rPr>
        <w:t xml:space="preserve">DONE  </w:t>
      </w:r>
      <w:r>
        <w:rPr>
          <w:rFonts w:ascii="Aptos" w:hAnsi="Aptos"/>
          <w:sz w:val="20"/>
        </w:rPr>
        <w:t>Lease agreement — Urunga and initial Coffs Harbour agreements gathered.</w:t>
      </w:r>
    </w:p>
    <w:p>
      <w:pPr>
        <w:keepLines/>
        <w:spacing w:after="70"/>
        <w:ind w:left="706" w:hanging="259"/>
      </w:pPr>
      <w:r>
        <w:rPr>
          <w:rFonts w:ascii="Aptos" w:hAnsi="Aptos"/>
          <w:b/>
          <w:color w:val="1A703D"/>
          <w:sz w:val="19"/>
        </w:rPr>
        <w:t xml:space="preserve">DONE  </w:t>
      </w:r>
      <w:r>
        <w:rPr>
          <w:rFonts w:ascii="Aptos" w:hAnsi="Aptos"/>
          <w:sz w:val="20"/>
        </w:rPr>
        <w:t>Tenancy agreement — Coffs Harbour extension gathered, 27 July 2026–25 January 2027.</w:t>
      </w:r>
    </w:p>
    <w:p>
      <w:pPr>
        <w:keepLines/>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spacing w:after="70"/>
        <w:ind w:left="706" w:hanging="259"/>
      </w:pPr>
      <w:r>
        <w:rPr>
          <w:rFonts w:ascii="Aptos" w:hAnsi="Aptos"/>
          <w:b/>
          <w:color w:val="9C4800"/>
          <w:sz w:val="19"/>
        </w:rPr>
        <w:t xml:space="preserve">TO DO  </w:t>
      </w:r>
      <w:r>
        <w:rPr>
          <w:rFonts w:ascii="Aptos" w:hAnsi="Aptos"/>
          <w:sz w:val="20"/>
        </w:rPr>
        <w:t>Gas — confirm whether not applicable.</w:t>
      </w:r>
    </w:p>
    <w:p>
      <w:pPr>
        <w:keepLines/>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spacing w:after="70"/>
        <w:ind w:left="317" w:hanging="259"/>
      </w:pPr>
      <w:r>
        <w:rPr>
          <w:rFonts w:ascii="Aptos" w:hAnsi="Aptos"/>
          <w:b/>
          <w:color w:val="9C4800"/>
          <w:sz w:val="19"/>
        </w:rPr>
        <w:t xml:space="preserve">TO DO  </w:t>
      </w:r>
      <w:r>
        <w:rPr>
          <w:rFonts w:ascii="Aptos" w:hAnsi="Aptos"/>
          <w:sz w:val="20"/>
        </w:rPr>
        <w:t>Terms of your wills</w:t>
      </w:r>
    </w:p>
    <w:p>
      <w:pPr>
        <w:keepLines/>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spacing w:after="70"/>
        <w:ind w:left="317" w:hanging="259"/>
      </w:pPr>
      <w:r>
        <w:rPr>
          <w:rFonts w:ascii="Aptos" w:hAnsi="Aptos"/>
          <w:b/>
          <w:color w:val="9C4800"/>
          <w:sz w:val="19"/>
          <w:highlight w:val="yellow"/>
        </w:rPr>
        <w:t xml:space="preserve">TO DO  </w:t>
      </w:r>
      <w:r>
        <w:rPr>
          <w:rFonts w:ascii="Aptos" w:hAnsi="Aptos"/>
          <w:sz w:val="20"/>
        </w:rPr>
        <w:t>[P1] Relationship Timeline Photos - Since Sep 2025</w:t>
      </w:r>
    </w:p>
    <w:p>
      <w:pPr>
        <w:keepLines/>
        <w:spacing w:after="70"/>
        <w:ind w:left="706" w:hanging="259"/>
      </w:pPr>
      <w:r>
        <w:rPr>
          <w:rFonts w:ascii="Aptos" w:hAnsi="Aptos"/>
          <w:b/>
          <w:color w:val="9C4800"/>
          <w:sz w:val="19"/>
        </w:rPr>
        <w:t xml:space="preserve">TO DO  </w:t>
      </w:r>
      <w:r>
        <w:rPr>
          <w:rFonts w:ascii="Aptos" w:hAnsi="Aptos"/>
          <w:sz w:val="20"/>
        </w:rPr>
        <w:t>Compile these in a word document in chronological order with the date and a brief description under each photo. Around 2 to 3 photos every two months will be sufficient</w:t>
      </w:r>
    </w:p>
    <w:p>
      <w:pPr>
        <w:pStyle w:val="Heading1"/>
      </w:pPr>
      <w:r>
        <w:rPr>
          <w:rFonts w:ascii="Aptos" w:hAnsi="Aptos"/>
          <w:sz w:val="30"/>
        </w:rPr>
        <w:t>Health and character documents</w:t>
      </w:r>
    </w:p>
    <w:p>
      <w:pPr>
        <w:keepLines/>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spacing w:after="70"/>
        <w:ind w:left="706" w:hanging="259"/>
      </w:pPr>
      <w:r>
        <w:rPr>
          <w:rFonts w:ascii="Aptos" w:hAnsi="Aptos"/>
          <w:b/>
          <w:color w:val="9C4800"/>
          <w:sz w:val="19"/>
        </w:rPr>
        <w:t xml:space="preserve">TO DO  </w:t>
      </w:r>
      <w:r>
        <w:rPr>
          <w:rFonts w:ascii="Aptos" w:hAnsi="Aptos"/>
          <w:sz w:val="20"/>
        </w:rPr>
        <w:t>Scott's passport</w:t>
      </w:r>
    </w:p>
    <w:p>
      <w:pPr>
        <w:keepLines/>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keepLines/>
        <w:spacing w:after="70"/>
        <w:ind w:left="317" w:hanging="259"/>
      </w:pPr>
      <w:r>
        <w:rPr>
          <w:rFonts w:ascii="Aptos" w:hAnsi="Aptos"/>
          <w:b/>
          <w:color w:val="9C4800"/>
          <w:sz w:val="19"/>
        </w:rPr>
        <w:t xml:space="preserve">TO DO  </w:t>
      </w:r>
      <w:r>
        <w:rPr>
          <w:rFonts w:ascii="Aptos" w:hAnsi="Aptos"/>
          <w:sz w:val="20"/>
        </w:rPr>
        <w:t>Short periods apart — for the brother’s house move, birthdays, each TAFE excursion and Sydney Bats trip, supply approximate dates, number of nights, who travelled, who remained home and how you kept in contact. Identify which were after 24 September 2025 and which trips you took together. The draft currently describes them generally without invented dates.</w:t>
      </w:r>
    </w:p>
    <w:p>
      <w:pPr>
        <w:keepLines/>
        <w:spacing w:after="70"/>
        <w:ind w:left="317" w:hanging="259"/>
      </w:pPr>
      <w:r>
        <w:rPr>
          <w:rFonts w:ascii="Aptos" w:hAnsi="Aptos"/>
          <w:b/>
          <w:color w:val="9C4800"/>
          <w:sz w:val="19"/>
        </w:rPr>
        <w:t xml:space="preserve">TO DO  </w:t>
      </w:r>
      <w:r>
        <w:rPr>
          <w:rFonts w:ascii="Aptos" w:hAnsi="Aptos"/>
          <w:sz w:val="20"/>
        </w:rPr>
        <w:t>School friend’s wedding — provide the couple’s names and approximate date. This event has been left out until its timing is known.</w:t>
      </w:r>
    </w:p>
    <w:p>
      <w:pPr>
        <w:keepLines/>
        <w:spacing w:after="70"/>
        <w:ind w:left="317" w:hanging="259"/>
      </w:pPr>
      <w:r>
        <w:rPr>
          <w:rFonts w:ascii="Aptos" w:hAnsi="Aptos"/>
          <w:b/>
          <w:color w:val="9C4800"/>
          <w:sz w:val="19"/>
        </w:rPr>
        <w:t xml:space="preserve">TO DO  </w:t>
      </w:r>
      <w:r>
        <w:rPr>
          <w:rFonts w:ascii="Aptos" w:hAnsi="Aptos"/>
          <w:sz w:val="20"/>
        </w:rPr>
        <w:t>Car purchase — provide approximate purchase date and confirm registration/ownership names if relying on the car as asset evidence. The ING loan being solely in Scott’s name is already confirmed; no need to reconfirm it.</w:t>
      </w:r>
    </w:p>
    <w:p>
      <w:pPr>
        <w:keepLines/>
        <w:spacing w:after="70"/>
        <w:ind w:left="317" w:hanging="259"/>
      </w:pPr>
      <w:r>
        <w:rPr>
          <w:rFonts w:ascii="Aptos" w:hAnsi="Aptos"/>
          <w:b/>
          <w:color w:val="9C4800"/>
          <w:sz w:val="19"/>
        </w:rPr>
        <w:t xml:space="preserve">TO DO  </w:t>
      </w:r>
      <w:r>
        <w:rPr>
          <w:rFonts w:ascii="Aptos" w:hAnsi="Aptos"/>
          <w:sz w:val="20"/>
        </w:rPr>
        <w:t>Sanctuary work — confirm the first shift date if you want it stated exactly (currently “around the beginning of October 2026”), and the role title if useful. Update the reference to two completed shifts when finalising the statement.</w:t>
      </w:r>
    </w:p>
    <w:p>
      <w:pPr>
        <w:keepLines/>
        <w:spacing w:after="70"/>
        <w:ind w:left="317" w:hanging="259"/>
      </w:pPr>
      <w:r>
        <w:rPr>
          <w:rFonts w:ascii="Aptos" w:hAnsi="Aptos"/>
          <w:b/>
          <w:color w:val="9C4800"/>
          <w:sz w:val="19"/>
        </w:rPr>
        <w:t xml:space="preserve">TO DO  </w:t>
      </w:r>
      <w:r>
        <w:rPr>
          <w:rFonts w:ascii="Aptos" w:hAnsi="Aptos"/>
          <w:sz w:val="20"/>
        </w:rPr>
        <w:t>Bali arrangements — clarify the drive to/from the Gold Coast, where Scott stayed and who cared for the dog, if these details are to be included. The draft currently mentions the car left with Mum and a sitter only for the joint Bulgaria trips.</w:t>
      </w:r>
    </w:p>
    <w:p>
      <w:pPr>
        <w:keepLines/>
        <w:spacing w:after="70"/>
        <w:ind w:left="317" w:hanging="259"/>
      </w:pPr>
      <w:r>
        <w:rPr>
          <w:rFonts w:ascii="Aptos" w:hAnsi="Aptos"/>
          <w:b/>
          <w:color w:val="9C4800"/>
          <w:sz w:val="19"/>
        </w:rPr>
        <w:t xml:space="preserve">TO DO  </w:t>
      </w:r>
      <w:r>
        <w:rPr>
          <w:rFonts w:ascii="Aptos" w:hAnsi="Aptos"/>
          <w:sz w:val="20"/>
        </w:rPr>
        <w:t>Final read — check the statement sounds like Scott and is accurate, including the bereavement paragraph, finances and future plans. Confirm “Web Developer” remains an appropriate occupation in the agency template. Review with Affinity, update the cutoff date and arrange signing only after the content is final.</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spacing w:after="70"/>
        <w:ind w:left="317" w:hanging="259"/>
      </w:pPr>
      <w:r>
        <w:rPr>
          <w:rFonts w:ascii="Aptos" w:hAnsi="Aptos"/>
          <w:b/>
          <w:color w:val="9C4800"/>
          <w:sz w:val="19"/>
        </w:rPr>
        <w:t xml:space="preserve">TO DO  </w:t>
      </w:r>
      <w:r>
        <w:rPr>
          <w:rFonts w:ascii="Aptos" w:hAnsi="Aptos"/>
          <w:sz w:val="20"/>
        </w:rPr>
        <w:t>Contact during separation — select dated messages/call records from Bali and relevant other periods apart for the P1 item above.</w:t>
      </w:r>
    </w:p>
    <w:p>
      <w:pPr>
        <w:keepLines/>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spacing w:after="70"/>
        <w:ind w:left="317" w:hanging="259"/>
      </w:pPr>
      <w:r>
        <w:rPr>
          <w:rFonts w:ascii="Aptos" w:hAnsi="Aptos"/>
          <w:b/>
          <w:color w:val="9C4800"/>
          <w:sz w:val="19"/>
        </w:rPr>
        <w:t xml:space="preserve">TO DO  </w:t>
      </w:r>
      <w:r>
        <w:rPr>
          <w:rFonts w:ascii="Aptos" w:hAnsi="Aptos"/>
          <w:sz w:val="20"/>
        </w:rPr>
        <w:t>Legal commitments — locate both superannuation beneficiary nominations as support for the statement. Identify any other relevant commitments, if applicable.</w:t>
      </w:r>
    </w:p>
    <w:p>
      <w:pPr>
        <w:keepLines/>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spacing w:after="70"/>
        <w:ind w:left="317" w:hanging="259"/>
      </w:pPr>
      <w:r>
        <w:rPr>
          <w:rFonts w:ascii="Aptos" w:hAnsi="Aptos"/>
          <w:b/>
          <w:color w:val="9C4800"/>
          <w:sz w:val="19"/>
        </w:rPr>
        <w:t xml:space="preserve">TO DO  </w:t>
      </w:r>
      <w:r>
        <w:rPr>
          <w:rFonts w:ascii="Aptos" w:hAnsi="Aptos"/>
          <w:sz w:val="20"/>
        </w:rPr>
        <w:t>Urunga lease — if precise historic tenancy coverage is needed, clarify the scan’s ticked six-month term versus its written end date of 10 February 2025, and any continuation. The commencement date is confirmed as 11 November 2024.</w:t>
      </w:r>
    </w:p>
    <w:p>
      <w:pPr>
        <w:keepLines/>
        <w:spacing w:after="70"/>
        <w:ind w:left="317" w:hanging="259"/>
      </w:pPr>
      <w:r>
        <w:rPr>
          <w:rFonts w:ascii="Aptos" w:hAnsi="Aptos"/>
          <w:b/>
          <w:color w:val="9C4800"/>
          <w:sz w:val="19"/>
        </w:rPr>
        <w:t xml:space="preserve">TO DO  </w:t>
      </w:r>
      <w:r>
        <w:rPr>
          <w:rFonts w:ascii="Aptos" w:hAnsi="Aptos"/>
          <w:sz w:val="20"/>
        </w:rPr>
        <w:t>Agency wording — confirm the “Subclass 729” reference means 820 and whether Kristina’s Bulgarian licence is wanted.</w:t>
      </w:r>
    </w:p>
    <w:p>
      <w:pPr>
        <w:keepLines/>
        <w:spacing w:after="70"/>
        <w:ind w:left="317" w:hanging="259"/>
      </w:pPr>
      <w:r>
        <w:rPr>
          <w:rFonts w:ascii="Aptos" w:hAnsi="Aptos"/>
          <w:b/>
          <w:color w:val="9C4800"/>
          <w:sz w:val="19"/>
        </w:rPr>
        <w:t xml:space="preserve">TO DO  </w:t>
      </w:r>
      <w:r>
        <w:rPr>
          <w:rFonts w:ascii="Aptos" w:hAnsi="Aptos"/>
          <w:sz w:val="20"/>
        </w:rPr>
        <w:t>Wills — establish whether relevant existing wills are available; this is not a task to create new wills.</w:t>
      </w:r>
    </w:p>
    <w:p>
      <w:pPr>
        <w:keepLines/>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The form ticks “6 months” but writes an end date of 10 February 2025. If Affinity needs precise historic tenancy coverage, clarify this inconsistency and any continuation; it does not alter the verified commencement date. The scan alone does not establish the actual move-out date.</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England wedding did not proceed and is removed. Christmas 2024 is clearly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A5A5A"/>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