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Jaya's first review draft has now been prepared from her 2024 Form 888 using the current agency template. Both witnesses must confirm their drafts, remove review notes, attach identity evidence as directed, and complete signing and witnessing.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answer the firm factual confirmations in “Scott's review required now”,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Kristina added further photos and 24 curated photos across 16 dates from August 2025 to August 2026 are now in the draft timeline. The new selection adds June–August 2026 family, social and couple photos. If available, add one or two photos from March–May 2026 and one or two from September–October 2026; otherwise ask Affinity whether the present coverage is sufficient.</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three ordinary Bali Messages screenshots from 6–8 October 2025 have been gathered and uploaded to Google Drive. Ask Affinity whether separate dates and contact evidence are required for the shorter absences involving family events, TAFE excursions and Sydney Bats; add further evidence only if requested or readily available.</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1A703D"/>
          <w:sz w:val="19"/>
        </w:rPr>
        <w:t xml:space="preserve">DONE  </w:t>
      </w:r>
      <w:r>
        <w:rPr>
          <w:rFonts w:ascii="Aptos" w:hAnsi="Aptos"/>
          <w:b/>
          <w:sz w:val="20"/>
        </w:rPr>
        <w:t>[P1] Legal commitments</w:t>
      </w:r>
      <w:r>
        <w:rPr>
          <w:rFonts w:ascii="Aptos" w:hAnsi="Aptos"/>
          <w:sz w:val="20"/>
        </w:rPr>
        <w:t xml:space="preserve"> — beneficiary evidence has been gathered for both partners, together with the joint leases.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 Jaya's review draft has been prepared from her 2024 Form 888 in the current agency template.</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