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ormorantGaramond-bold.ttf" ContentType="application/x-font-ttf"/>
  <Override PartName="/word/fonts/CormorantGaramond-boldItalic.ttf" ContentType="application/x-font-ttf"/>
  <Override PartName="/word/fonts/CormorantGaramond-italic.ttf" ContentType="application/x-font-ttf"/>
  <Override PartName="/word/fonts/CormorantGaramond-regular.ttf" ContentType="application/x-font-ttf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600" w:after="480"/>
        <w:jc w:val="center"/>
      </w:pPr>
    </w:p>
    <w:p>
      <w:pPr>
        <w:spacing w:after="120"/>
        <w:jc w:val="center"/>
      </w:pPr>
      <w:r>
        <w:rPr>
          <w:rFonts w:ascii="Cormorant Garamond" w:hAnsi="Cormorant Garamond" w:cs="Cormorant Garamond"/>
          <w:b w:val="0"/>
          <w:i/>
          <w:color w:val="14110D"/>
          <w:sz w:val="56"/>
        </w:rPr>
        <w:t>Decision Tiers &amp; Deal Framework</w:t>
      </w:r>
    </w:p>
    <w:p>
      <w:pPr>
        <w:spacing w:after="80"/>
        <w:jc w:val="center"/>
      </w:pPr>
      <w:r>
        <w:rPr>
          <w:rFonts w:ascii="Cormorant Garamond" w:hAnsi="Cormorant Garamond" w:cs="Cormorant Garamond"/>
          <w:b w:val="0"/>
          <w:i w:val="0"/>
          <w:color w:val="14110D"/>
          <w:sz w:val="28"/>
        </w:rPr>
        <w:t>Meridian Collective Group LLC</w:t>
      </w:r>
    </w:p>
    <w:p>
      <w:pPr>
        <w:spacing w:after="480"/>
        <w:jc w:val="center"/>
      </w:pPr>
      <w:r>
        <w:rPr>
          <w:rFonts w:ascii="Cormorant Garamond" w:hAnsi="Cormorant Garamond" w:cs="Cormorant Garamond"/>
          <w:b w:val="0"/>
          <w:i/>
          <w:color w:val="595959"/>
          <w:sz w:val="22"/>
        </w:rPr>
        <w:t>Internal Working Framework for Member Decisions and Deal Approval</w:t>
      </w:r>
    </w:p>
    <w:p>
      <w:pPr>
        <w:spacing w:after="240"/>
        <w:jc w:val="center"/>
      </w:pPr>
      <w:r>
        <w:rPr>
          <w:rFonts w:ascii="Inter" w:hAnsi="Inter" w:cs="Inter"/>
          <w:b w:val="0"/>
          <w:i w:val="0"/>
          <w:color w:val="C9A878"/>
          <w:sz w:val="22"/>
        </w:rPr>
        <w:t>———————</w:t>
      </w:r>
    </w:p>
    <w:p>
      <w:pPr>
        <w:spacing w:after="60"/>
        <w:jc w:val="center"/>
      </w:pPr>
      <w:r>
        <w:rPr>
          <w:rFonts w:ascii="Inter" w:hAnsi="Inter" w:cs="Inter"/>
          <w:b w:val="0"/>
          <w:i w:val="0"/>
          <w:color w:val="1A1A1A"/>
          <w:sz w:val="20"/>
        </w:rPr>
        <w:t>3133 Maple Dr., Ste 240 #2333</w:t>
      </w:r>
    </w:p>
    <w:p>
      <w:pPr>
        <w:spacing w:after="360"/>
        <w:jc w:val="center"/>
      </w:pPr>
      <w:r>
        <w:rPr>
          <w:rFonts w:ascii="Inter" w:hAnsi="Inter" w:cs="Inter"/>
          <w:b w:val="0"/>
          <w:i w:val="0"/>
          <w:color w:val="1A1A1A"/>
          <w:sz w:val="20"/>
        </w:rPr>
        <w:t>Atlanta, Georgia 30305</w:t>
      </w:r>
    </w:p>
    <w:p>
      <w:pPr>
        <w:spacing w:after="240"/>
        <w:jc w:val="center"/>
      </w:pPr>
      <w:r>
        <w:rPr>
          <w:rFonts w:ascii="Inter" w:hAnsi="Inter" w:cs="Inter"/>
          <w:b w:val="0"/>
          <w:i w:val="0"/>
          <w:color w:val="1A1A1A"/>
          <w:sz w:val="20"/>
        </w:rPr>
        <w:t>Effective Date  ·  _________________, 2026</w:t>
      </w:r>
    </w:p>
    <w:p>
      <w:pPr>
        <w:spacing w:before="480" w:after="60"/>
        <w:jc w:val="center"/>
      </w:pPr>
      <w:r>
        <w:rPr>
          <w:rFonts w:ascii="Inter" w:hAnsi="Inter" w:cs="Inter"/>
          <w:b/>
          <w:i w:val="0"/>
          <w:color w:val="C9A878"/>
          <w:sz w:val="18"/>
        </w:rPr>
        <w:t>WORKING DRAFT</w:t>
      </w:r>
    </w:p>
    <w:p>
      <w:pPr>
        <w:jc w:val="center"/>
      </w:pPr>
      <w:r>
        <w:rPr>
          <w:rFonts w:ascii="Inter" w:hAnsi="Inter" w:cs="Inter"/>
          <w:b w:val="0"/>
          <w:i w:val="0"/>
          <w:color w:val="595959"/>
          <w:sz w:val="14"/>
        </w:rPr>
        <w:t>CONFIDENTIAL  ·  FOR THE PARTNERSHIP</w:t>
      </w:r>
    </w:p>
    <w:p>
      <w:pPr>
        <w:pageBreakBefore/>
        <w:spacing w:before="480" w:after="60"/>
      </w:pPr>
      <w:r>
        <w:rPr>
          <w:rFonts w:ascii="Inter" w:hAnsi="Inter" w:cs="Inter"/>
          <w:b/>
          <w:i w:val="0"/>
          <w:color w:val="C9A878"/>
          <w:sz w:val="18"/>
        </w:rPr>
        <w:t>READING GUIDE</w:t>
      </w:r>
    </w:p>
    <w:p>
      <w:pPr>
        <w:spacing w:after="240"/>
        <w:pBdr>
          <w:bottom w:val="single" w:sz="4" w:space="6" w:color="c9a878"/>
        </w:pBdr>
      </w:pPr>
      <w:r>
        <w:rPr>
          <w:rFonts w:ascii="Cormorant Garamond" w:hAnsi="Cormorant Garamond" w:cs="Cormorant Garamond"/>
          <w:b w:val="0"/>
          <w:i/>
          <w:color w:val="14110D"/>
          <w:sz w:val="36"/>
        </w:rPr>
        <w:t>What this document does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This working framework answers the decision-making question raised by Aaliyah: what decisions need a vote, what Co-Managing Members can handle, how long members have to respond, and how Meridian decides which deals to take on or exit. This is business-rule language for group review and counsel; it should be conformed to the Operating Agreement before signing.</w:t>
      </w:r>
    </w:p>
    <w:p>
      <w:pPr>
        <w:pageBreakBefore/>
        <w:spacing w:before="480" w:after="60"/>
      </w:pPr>
      <w:r>
        <w:rPr>
          <w:rFonts w:ascii="Inter" w:hAnsi="Inter" w:cs="Inter"/>
          <w:b/>
          <w:i w:val="0"/>
          <w:color w:val="C9A878"/>
          <w:sz w:val="18"/>
        </w:rPr>
        <w:t>PART I</w:t>
      </w:r>
    </w:p>
    <w:p>
      <w:pPr>
        <w:pStyle w:val="Heading1"/>
        <w:spacing w:before="0" w:after="320"/>
        <w:pBdr>
          <w:bottom w:val="single" w:sz="6" w:space="8" w:color="c9a878"/>
        </w:pBdr>
      </w:pPr>
      <w:r>
        <w:rPr>
          <w:rFonts w:ascii="Cormorant Garamond" w:hAnsi="Cormorant Garamond" w:cs="Cormorant Garamond"/>
          <w:b w:val="0"/>
          <w:i w:val="0"/>
          <w:color w:val="14110D"/>
          <w:sz w:val="44"/>
        </w:rPr>
        <w:t>Decision Tiers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1.1  </w:t>
      </w:r>
      <w:r>
        <w:rPr>
          <w:rFonts w:ascii="Inter" w:hAnsi="Inter" w:cs="Inter"/>
          <w:b/>
          <w:i w:val="0"/>
          <w:color w:val="14110D"/>
          <w:sz w:val="22"/>
        </w:rPr>
        <w:t>Core Rule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Meridian should use decision tiers so the group does not have to debate process every time a decision comes up. Routine administration can move quickly. New commitments, deals, member risk, ownership rights, and exit decisions require clearer approval.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While Meridian has four members, Majority means three (3) of four (4) members unless the Operating Agreement defines a different threshold for a specific decision.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1.2  </w:t>
      </w:r>
      <w:r>
        <w:rPr>
          <w:rFonts w:ascii="Inter" w:hAnsi="Inter" w:cs="Inter"/>
          <w:b/>
          <w:i w:val="0"/>
          <w:color w:val="14110D"/>
          <w:sz w:val="22"/>
        </w:rPr>
        <w:t>Recommended Tier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Tier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Who Decides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Examples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Approval Rule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1: Routine Administration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Co-Managing Member(s) or assigned member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Scheduling, reminders, document collection, advisor coordination, filing routine forms, maintaining records, preparing vote packets.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No separate vote required, but updates should be documented and visible to all members.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2: Approved Budget Execution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Authorized signer(s) after approval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Paying invoices inside an approved budget, signing routine documents for an approved project, ordering inspections or reports already approved in a Deal Approval Memo.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No new vote if the action stays within the approved budget, scope, and deal authority. Payment/signature controls still apply.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3: Group Vote Required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Members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New deal offers, property acquisition, unbudgeted spending, debt, capital calls, member loans, outside investors, material budget changes, sale/refinance, member-vendor transactions, commission treatment, and adding new members.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Majority approval: three (3) of four (4), unless the Operating Agreement requires a higher threshold.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4: Affected Member Written Consent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The affected member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Use of a member's cash, credit, guarantee, member loan, personal collateral, or deal-specific capital.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The affected member must affirmatively approve in writing. Non-response never commits personal money or risk.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5: Core Rights / Unanimous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All members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Changing ownership percentages, changing core voting rights, transfer exceptions, requiring mandatory capital beyond the agreed cap, and any voluntary dissolution rule the members choose to make unanimous.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Unanimous approval: four (4) of four (4), unless the Operating Agreement expressly sets a different rule.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1.3  </w:t>
      </w:r>
      <w:r>
        <w:rPr>
          <w:rFonts w:ascii="Inter" w:hAnsi="Inter" w:cs="Inter"/>
          <w:b/>
          <w:i w:val="0"/>
          <w:color w:val="14110D"/>
          <w:sz w:val="22"/>
        </w:rPr>
        <w:t>Adding Members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Adding a new member should be a Tier 3 decision requiring Majority approval. With four current members, that means three (3) of four (4) must approve admission of the new member.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Changing existing members' ownership percentages is different. That should remain a Tier 5 core-rights decision unless all members agree otherwise.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1.4  </w:t>
      </w:r>
      <w:r>
        <w:rPr>
          <w:rFonts w:ascii="Inter" w:hAnsi="Inter" w:cs="Inter"/>
          <w:b/>
          <w:i w:val="0"/>
          <w:color w:val="14110D"/>
          <w:sz w:val="22"/>
        </w:rPr>
        <w:t>Spending and Signature Distinction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The group should keep approval authority separate from payment-processing authority.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Approval authority means the power to decide whether Meridian takes on a cost, contract, deal, debt, or obligation.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Payment-processing authority means who can sign or release funds after the expense or deal has already been approved.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Recommended working rule: all new expenditures require the applicable member approval first. After approval, one authorized signer may process previously approved budgeted payments under $2,500, two signatures are required for $2,500 to $10,000, and all-member written approval is required above $10,000 or for any unbudgeted expense.</w:t>
      </w:r>
    </w:p>
    <w:p>
      <w:pPr>
        <w:pageBreakBefore/>
        <w:spacing w:before="480" w:after="60"/>
      </w:pPr>
      <w:r>
        <w:rPr>
          <w:rFonts w:ascii="Inter" w:hAnsi="Inter" w:cs="Inter"/>
          <w:b/>
          <w:i w:val="0"/>
          <w:color w:val="C9A878"/>
          <w:sz w:val="18"/>
        </w:rPr>
        <w:t>PART II</w:t>
      </w:r>
    </w:p>
    <w:p>
      <w:pPr>
        <w:pStyle w:val="Heading1"/>
        <w:spacing w:before="0" w:after="320"/>
        <w:pBdr>
          <w:bottom w:val="single" w:sz="6" w:space="8" w:color="c9a878"/>
        </w:pBdr>
      </w:pPr>
      <w:r>
        <w:rPr>
          <w:rFonts w:ascii="Cormorant Garamond" w:hAnsi="Cormorant Garamond" w:cs="Cormorant Garamond"/>
          <w:b w:val="0"/>
          <w:i w:val="0"/>
          <w:color w:val="14110D"/>
          <w:sz w:val="44"/>
        </w:rPr>
        <w:t>Response Windows and Non-Response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2.1  </w:t>
      </w:r>
      <w:r>
        <w:rPr>
          <w:rFonts w:ascii="Inter" w:hAnsi="Inter" w:cs="Inter"/>
          <w:b/>
          <w:i w:val="0"/>
          <w:color w:val="14110D"/>
          <w:sz w:val="22"/>
        </w:rPr>
        <w:t>Written Decision Notice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A member vote should not be valid unless the notice includes enough information for members to make a real decision.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Required notice contents: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Decision requested.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Affected deal or company matter.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Dollar impact and source of funds.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Required approval threshold.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Response deadline.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Consequence of non-response.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Whether any member cash, credit, guarantee, loan, or personal risk is affected.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Supporting documents, including the Deal Approval Memo when the vote involves a deal.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2.2  </w:t>
      </w:r>
      <w:r>
        <w:rPr>
          <w:rFonts w:ascii="Inter" w:hAnsi="Inter" w:cs="Inter"/>
          <w:b/>
          <w:i w:val="0"/>
          <w:color w:val="14110D"/>
          <w:sz w:val="22"/>
        </w:rPr>
        <w:t>Response Deadlines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Recommended working rule: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Routine decisions: forty-eight (48) hours.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Urgent deal decisions: twenty-four (24) hours if the notice explains why the matter is urgent.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Core-rights decisions: no automatic short deadline unless all members agree to use one.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2.3  </w:t>
      </w:r>
      <w:r>
        <w:rPr>
          <w:rFonts w:ascii="Inter" w:hAnsi="Inter" w:cs="Inter"/>
          <w:b/>
          <w:i w:val="0"/>
          <w:color w:val="14110D"/>
          <w:sz w:val="22"/>
        </w:rPr>
        <w:t>Non-Response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Recommended working rule: if a member does not respond by the stated deadline, the non-response counts as an abstention, not a yes vote.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The decision may proceed only if the required approval threshold is otherwise met.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No member's cash, credit, personal guarantee, member loan, collateral, or deal-specific capital may be committed by silence or non-response.</w:t>
      </w:r>
    </w:p>
    <w:p>
      <w:pPr>
        <w:pageBreakBefore/>
        <w:spacing w:before="480" w:after="60"/>
      </w:pPr>
      <w:r>
        <w:rPr>
          <w:rFonts w:ascii="Inter" w:hAnsi="Inter" w:cs="Inter"/>
          <w:b/>
          <w:i w:val="0"/>
          <w:color w:val="C9A878"/>
          <w:sz w:val="18"/>
        </w:rPr>
        <w:t>PART III</w:t>
      </w:r>
    </w:p>
    <w:p>
      <w:pPr>
        <w:pStyle w:val="Heading1"/>
        <w:spacing w:before="0" w:after="320"/>
        <w:pBdr>
          <w:bottom w:val="single" w:sz="6" w:space="8" w:color="c9a878"/>
        </w:pBdr>
      </w:pPr>
      <w:r>
        <w:rPr>
          <w:rFonts w:ascii="Cormorant Garamond" w:hAnsi="Cormorant Garamond" w:cs="Cormorant Garamond"/>
          <w:b w:val="0"/>
          <w:i w:val="0"/>
          <w:color w:val="14110D"/>
          <w:sz w:val="44"/>
        </w:rPr>
        <w:t>Deal Intake and Approval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3.1  </w:t>
      </w:r>
      <w:r>
        <w:rPr>
          <w:rFonts w:ascii="Inter" w:hAnsi="Inter" w:cs="Inter"/>
          <w:b/>
          <w:i w:val="0"/>
          <w:color w:val="14110D"/>
          <w:sz w:val="22"/>
        </w:rPr>
        <w:t>Deal Filter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Meridian should only spend meaningful time or money on deals that pass a basic screen before a formal vote.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A deal should move forward only if it has: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 clear property, seller, lead source, or opportunity source.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 proposed strategy: wholesale, flip, build, hold, refinance, or other.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 realistic acquisition price or maximum offer range.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Preliminary numbers showing expected profit, cash need, financing need, and timeline.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 clear exit path before the offer is made.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No unresolved title, zoning, permitting, legal, or conflict issue that makes the deal unsuitable.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 named deal lead responsible for the next step.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3.2  </w:t>
      </w:r>
      <w:r>
        <w:rPr>
          <w:rFonts w:ascii="Inter" w:hAnsi="Inter" w:cs="Inter"/>
          <w:b/>
          <w:i w:val="0"/>
          <w:color w:val="14110D"/>
          <w:sz w:val="22"/>
        </w:rPr>
        <w:t>Deal Approval Memo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No deal should be considered approved until the members have a written Deal Approval Memo or Deal Participation Agreement.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The memo should include: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Property address or parcel information.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Deal source and any related-party/conflict disclosure.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Strategy and exit plan.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Maximum offer authority and purchase price.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Earnest money, due diligence cost, and inspection budget.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Total project budget, reserves, and expected overrun procedure.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Financing plan, debt terms, guarantees, and guarantor compensation if any.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Member cash, credit, loan, guarantee, and role commitments.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Deal Participation Interests and profit/loss waterfall.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Vendor plan, including whether a member-owned business will be used.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Commission treatment.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Required vote threshold for material changes.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Go/no-go deadlines and exit triggers.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3.3  </w:t>
      </w:r>
      <w:r>
        <w:rPr>
          <w:rFonts w:ascii="Inter" w:hAnsi="Inter" w:cs="Inter"/>
          <w:b/>
          <w:i w:val="0"/>
          <w:color w:val="14110D"/>
          <w:sz w:val="22"/>
        </w:rPr>
        <w:t>Deal Approval Stages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Stage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Decision Point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Required Output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Approval Rule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1. Intake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Is this worth screening?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Deal lead, source, property, rough strategy, next deadline.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Co-Managing Member(s) or assigned deal lead may prepare the screen.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2. Initial Screen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Does it fit Meridian's strategy and risk?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Rough numbers, red flags, capital need, exit path.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Group discussion before meaningful spend.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3. Offer Approval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Should Meridian submit an offer or LOI?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Deal Approval Memo with max offer, earnest money, funding, roles, and exit plan.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3 Majority approval, plus Tier 4 consent from any member whose cash, credit, or guarantee is used.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4. Due Diligence Go/No-Go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Should Meridian proceed, renegotiate, or exit before deadlines?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Inspection/title/zoning/budget update and revised deal memo if needed.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3 Majority approval for proceed/renegotiate; individual consent for personal risk changes.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5. Active Project Changes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Should the budget, timeline, financing, or scope change?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Written change memo explaining variance and recommendation.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3 vote for material changes; Tier 4 consent for affected member risk.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6. Exit Execution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Should Meridian sell, refinance, hold, assign, or abandon?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Exit memo showing economics, timing, debt payoff, reserves, and distributions.</w:t>
            </w:r>
          </w:p>
        </w:tc>
        <w:tc>
          <w:tcPr>
            <w:tcW w:type="dxa" w:w="2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Tier 3 vote unless the Operating Agreement requires a higher threshold.</w:t>
            </w:r>
          </w:p>
        </w:tc>
      </w:tr>
    </w:tbl>
    <w:p>
      <w:pPr>
        <w:spacing w:after="120"/>
      </w:pPr>
    </w:p>
    <w:p>
      <w:pPr>
        <w:pageBreakBefore/>
        <w:spacing w:before="480" w:after="60"/>
      </w:pPr>
      <w:r>
        <w:rPr>
          <w:rFonts w:ascii="Inter" w:hAnsi="Inter" w:cs="Inter"/>
          <w:b/>
          <w:i w:val="0"/>
          <w:color w:val="C9A878"/>
          <w:sz w:val="18"/>
        </w:rPr>
        <w:t>PART IV</w:t>
      </w:r>
    </w:p>
    <w:p>
      <w:pPr>
        <w:pStyle w:val="Heading1"/>
        <w:spacing w:before="0" w:after="320"/>
        <w:pBdr>
          <w:bottom w:val="single" w:sz="6" w:space="8" w:color="c9a878"/>
        </w:pBdr>
      </w:pPr>
      <w:r>
        <w:rPr>
          <w:rFonts w:ascii="Cormorant Garamond" w:hAnsi="Cormorant Garamond" w:cs="Cormorant Garamond"/>
          <w:b w:val="0"/>
          <w:i w:val="0"/>
          <w:color w:val="14110D"/>
          <w:sz w:val="44"/>
        </w:rPr>
        <w:t>Which Deals Meridian Takes On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4.1  </w:t>
      </w:r>
      <w:r>
        <w:rPr>
          <w:rFonts w:ascii="Inter" w:hAnsi="Inter" w:cs="Inter"/>
          <w:b/>
          <w:i w:val="0"/>
          <w:color w:val="14110D"/>
          <w:sz w:val="22"/>
        </w:rPr>
        <w:t>Recommended Deal Selection Standard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Meridian should take on deals only when the members can answer yes to all of the following: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 deal fits the company's approved purpose, market, and current strategy.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 expected profit justifies the time, capital, and risk.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 financing plan is realistic and does not force any member into unapproved personal exposure.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 required capital fits within approved member commitments or voluntary deal-specific commitments.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There is a clear deal lead and role plan.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There is a documented exit plan and backup exit plan.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 timeline is realistic for member capacity.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Conflicts, commissions, and member-vendor relationships are disclosed before approval.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4.2  </w:t>
      </w:r>
      <w:r>
        <w:rPr>
          <w:rFonts w:ascii="Inter" w:hAnsi="Inter" w:cs="Inter"/>
          <w:b/>
          <w:i w:val="0"/>
          <w:color w:val="14110D"/>
          <w:sz w:val="22"/>
        </w:rPr>
        <w:t>Deal Metrics to Set Before First Offer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The group should choose exact numbers for these items before submitting offers: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Metric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Recommended Starting Point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f6f0e6" w:val="clear"/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/>
                <w:i w:val="0"/>
                <w:color w:val="1A1A1A"/>
                <w:sz w:val="19"/>
              </w:rPr>
              <w:t>Needs Final Group Decision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Minimum projected profit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Set a minimum dollar profit and/or margin before offers begin.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Yes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Maximum required cash per member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Use the Year-1 capital cap or Schedule A capacity, but only with written opt-in.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Yes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Maximum personal guarantee exposure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No guarantee without affected member written consent.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Yes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Maximum project timeline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Set by strategy: wholesale, flip, build, hold, or refinance.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Yes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Budget variance requiring vote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Any material variance; suggested trigger is over $5,000 or over 10% of approved budget.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Yes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Required reserve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Reserve should be identified in the Deal Approval Memo.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 w:cs="Inter"/>
                <w:b w:val="0"/>
                <w:i w:val="0"/>
                <w:color w:val="1A1A1A"/>
                <w:sz w:val="19"/>
              </w:rPr>
              <w:t>Yes</w:t>
            </w:r>
          </w:p>
        </w:tc>
      </w:tr>
    </w:tbl>
    <w:p>
      <w:pPr>
        <w:spacing w:after="120"/>
      </w:pPr>
    </w:p>
    <w:p>
      <w:pPr>
        <w:pageBreakBefore/>
        <w:spacing w:before="480" w:after="60"/>
      </w:pPr>
      <w:r>
        <w:rPr>
          <w:rFonts w:ascii="Inter" w:hAnsi="Inter" w:cs="Inter"/>
          <w:b/>
          <w:i w:val="0"/>
          <w:color w:val="C9A878"/>
          <w:sz w:val="18"/>
        </w:rPr>
        <w:t>PART V</w:t>
      </w:r>
    </w:p>
    <w:p>
      <w:pPr>
        <w:pStyle w:val="Heading1"/>
        <w:spacing w:before="0" w:after="320"/>
        <w:pBdr>
          <w:bottom w:val="single" w:sz="6" w:space="8" w:color="c9a878"/>
        </w:pBdr>
      </w:pPr>
      <w:r>
        <w:rPr>
          <w:rFonts w:ascii="Cormorant Garamond" w:hAnsi="Cormorant Garamond" w:cs="Cormorant Garamond"/>
          <w:b w:val="0"/>
          <w:i w:val="0"/>
          <w:color w:val="14110D"/>
          <w:sz w:val="44"/>
        </w:rPr>
        <w:t>Exit Strategy and Deal Closeout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5.1  </w:t>
      </w:r>
      <w:r>
        <w:rPr>
          <w:rFonts w:ascii="Inter" w:hAnsi="Inter" w:cs="Inter"/>
          <w:b/>
          <w:i w:val="0"/>
          <w:color w:val="14110D"/>
          <w:sz w:val="22"/>
        </w:rPr>
        <w:t>Exit Must Be Decided Before Entry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Every deal should have a primary exit strategy and a backup exit strategy before Meridian submits an offer, signs a contract, spends material money, or commits member capital.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Possible exit strategies: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Wholesale or assignment.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Renovate and sell.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Build and sell.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Hold as rental.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Refinance and hold.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Sell as-is if the project no longer fits the numbers.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Exit during due diligence before earnest money becomes non-refundable.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5.2  </w:t>
      </w:r>
      <w:r>
        <w:rPr>
          <w:rFonts w:ascii="Inter" w:hAnsi="Inter" w:cs="Inter"/>
          <w:b/>
          <w:i w:val="0"/>
          <w:color w:val="14110D"/>
          <w:sz w:val="22"/>
        </w:rPr>
        <w:t>Exit Review Triggers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The members should revisit the exit plan if any of the following occur: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Inspection, title, zoning, permitting, lender, or contractor information materially changes the numbers.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 project budget increases beyond the approved variance threshold.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 timeline extends beyond the approved project plan.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Financing terms change.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 member's cash, credit, guarantee, or role commitment changes.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The projected profit drops below the approved minimum.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 better risk-adjusted exit becomes available.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5.3  </w:t>
      </w:r>
      <w:r>
        <w:rPr>
          <w:rFonts w:ascii="Inter" w:hAnsi="Inter" w:cs="Inter"/>
          <w:b/>
          <w:i w:val="0"/>
          <w:color w:val="14110D"/>
          <w:sz w:val="22"/>
        </w:rPr>
        <w:t>Exit Decision Memo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Before selling, refinancing, holding, assigning, or abandoning a deal, the deal lead should circulate an Exit Decision Memo that includes: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Recommended exit.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Current budget-to-actual.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Debt payoff and closing costs.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Expected net proceeds.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Return of capital.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Preferred return or guarantee premium, if applicable.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Reserves to hold back.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Estimated member distributions.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Risks of choosing the recommended exit.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Alternative exit options considered.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5.4  </w:t>
      </w:r>
      <w:r>
        <w:rPr>
          <w:rFonts w:ascii="Inter" w:hAnsi="Inter" w:cs="Inter"/>
          <w:b/>
          <w:i w:val="0"/>
          <w:color w:val="14110D"/>
          <w:sz w:val="22"/>
        </w:rPr>
        <w:t>Deal Closeout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After exit, the Co-Managing Member(s) or deal lead should provide a closeout packet with: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Final settlement statement or refinance statement.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Final project budget and variance report.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Final profit/loss calculation.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Capital return and distribution calculation.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Lessons learned.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Any follow-up tasks for taxes, records, vendors, warranties, or insurance.</w:t>
      </w:r>
    </w:p>
    <w:p>
      <w:pPr>
        <w:pageBreakBefore/>
        <w:spacing w:before="480" w:after="60"/>
      </w:pPr>
      <w:r>
        <w:rPr>
          <w:rFonts w:ascii="Inter" w:hAnsi="Inter" w:cs="Inter"/>
          <w:b/>
          <w:i w:val="0"/>
          <w:color w:val="C9A878"/>
          <w:sz w:val="18"/>
        </w:rPr>
        <w:t>PART VI</w:t>
      </w:r>
    </w:p>
    <w:p>
      <w:pPr>
        <w:pStyle w:val="Heading1"/>
        <w:spacing w:before="0" w:after="320"/>
        <w:pBdr>
          <w:bottom w:val="single" w:sz="6" w:space="8" w:color="c9a878"/>
        </w:pBdr>
      </w:pPr>
      <w:r>
        <w:rPr>
          <w:rFonts w:ascii="Cormorant Garamond" w:hAnsi="Cormorant Garamond" w:cs="Cormorant Garamond"/>
          <w:b w:val="0"/>
          <w:i w:val="0"/>
          <w:color w:val="14110D"/>
          <w:sz w:val="44"/>
        </w:rPr>
        <w:t>Items to Put Back Into the Tiebreaker or Operating Agreement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6.1  </w:t>
      </w:r>
      <w:r>
        <w:rPr>
          <w:rFonts w:ascii="Inter" w:hAnsi="Inter" w:cs="Inter"/>
          <w:b/>
          <w:i w:val="0"/>
          <w:color w:val="14110D"/>
          <w:sz w:val="22"/>
        </w:rPr>
        <w:t>Open Decisions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The group should still make final choices on: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Exact response windows: 48/24 hours or another structure.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Whether non-response is abstention or no vote.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Exact payment-processing thresholds.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Exact budget variance trigger requiring a new vote.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Minimum profit or margin required before taking on a deal.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Maximum project timeline by deal type.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Required reserves.</w:t>
      </w:r>
    </w:p>
    <w:p>
      <w:pPr>
        <w:spacing w:after="100"/>
        <w:numPr>
          <w:ilvl w:val="0"/>
          <w:numId w:val="1"/>
        </w:numPr>
      </w:pPr>
      <w:r>
        <w:rPr>
          <w:rFonts w:ascii="Inter" w:hAnsi="Inter" w:cs="Inter"/>
          <w:b w:val="0"/>
          <w:i w:val="0"/>
          <w:color w:val="1A1A1A"/>
          <w:sz w:val="21"/>
        </w:rPr>
        <w:t>Whether voluntary dissolution requires unanimous approval or another threshold.</w:t>
      </w:r>
    </w:p>
    <w:p>
      <w:pPr>
        <w:pStyle w:val="Heading2"/>
        <w:spacing w:before="280" w:after="120"/>
      </w:pPr>
      <w:r>
        <w:rPr>
          <w:rFonts w:ascii="Inter" w:hAnsi="Inter" w:cs="Inter"/>
          <w:b/>
          <w:i w:val="0"/>
          <w:color w:val="C9A878"/>
          <w:sz w:val="22"/>
        </w:rPr>
        <w:t xml:space="preserve">6.2  </w:t>
      </w:r>
      <w:r>
        <w:rPr>
          <w:rFonts w:ascii="Inter" w:hAnsi="Inter" w:cs="Inter"/>
          <w:b/>
          <w:i w:val="0"/>
          <w:color w:val="14110D"/>
          <w:sz w:val="22"/>
        </w:rPr>
        <w:t>Recommended Operating Agreement Language Concept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The Operating Agreement should state that no Company deal is approved unless the members have approved a Deal Approval Memo. The Deal Approval Memo should control deal-specific economics, roles, capital commitments, credit support, guarantees, commission treatment, budget variance rules, and exit plan for that specific deal only.</w:t>
      </w:r>
    </w:p>
    <w:p>
      <w:pPr>
        <w:spacing w:after="120" w:line="252" w:lineRule="auto"/>
        <w:jc w:val="both"/>
      </w:pPr>
      <w:r>
        <w:rPr>
          <w:rFonts w:ascii="Inter" w:hAnsi="Inter" w:cs="Inter"/>
          <w:b w:val="0"/>
          <w:i w:val="0"/>
          <w:color w:val="1A1A1A"/>
          <w:sz w:val="21"/>
        </w:rPr>
        <w:t>Equal Company membership should remain separate from deal-level economics. Deal-level economics should follow the actual cash, credit, guarantees, loans, services, roles, and risk approved for that deal.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rmorant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Inter" w:hAnsi="Inter"/>
      <w:color w:val="1A1A1A"/>
      <w:sz w:val="21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Cormorant Garamond" w:cs="Cormorant Garamond" w:eastAsia="Cormorant Garamond" w:hAnsi="Cormorant Garamond"/>
      <w:b w:val="0"/>
      <w:bCs w:val="0"/>
      <w:i w:val="0"/>
      <w:iCs w:val="0"/>
      <w:smallCaps w:val="0"/>
      <w:strike w:val="0"/>
      <w:color w:val="14110d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4110d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XFeWkjlERbRDtao0KWqCgy8BC5GjEMNhkPXmXosIEQ/edit?usp=sharin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ormorantGaramond-regular.ttf"/><Relationship Id="rId2" Type="http://schemas.openxmlformats.org/officeDocument/2006/relationships/font" Target="fonts/CormorantGaramond-bold.ttf"/><Relationship Id="rId3" Type="http://schemas.openxmlformats.org/officeDocument/2006/relationships/font" Target="fonts/CormorantGaramond-italic.ttf"/><Relationship Id="rId4" Type="http://schemas.openxmlformats.org/officeDocument/2006/relationships/font" Target="fonts/CormorantGaramond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