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  <w:pBdr>
          <w:bottom w:val="single" w:sz="14" w:color="17365D" w:space="4"/>
        </w:pBdr>
      </w:pPr>
      <w:r>
        <w:rPr>
          <w:rFonts w:ascii="Cambria" w:hAnsi="Cambria"/>
          <w:b/>
          <w:i w:val="0"/>
          <w:color w:val="17365D"/>
          <w:sz w:val="52"/>
        </w:rPr>
        <w:t>Axiom Forecasting Group</w:t>
      </w:r>
    </w:p>
    <w:p>
      <w:pPr>
        <w:spacing w:before="100" w:after="280"/>
        <w:jc w:val="center"/>
      </w:pPr>
      <w:r>
        <w:rPr>
          <w:rFonts w:ascii="Cambria" w:hAnsi="Cambria"/>
          <w:b/>
          <w:i w:val="0"/>
          <w:color w:val="17365D"/>
          <w:sz w:val="28"/>
        </w:rPr>
        <w:t>AFG Forecast Accuracy Index</w:t>
      </w:r>
      <w:r>
        <w:rPr>
          <w:rFonts w:ascii="Cambria" w:hAnsi="Cambria"/>
          <w:b w:val="0"/>
          <w:i w:val="0"/>
          <w:color w:val="365F91"/>
          <w:sz w:val="24"/>
        </w:rPr>
        <w:t xml:space="preserve">   |   Updated July 27, 2026</w:t>
      </w:r>
    </w:p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Overall Performance</w:t>
      </w:r>
    </w:p>
    <w:tbl>
      <w:tblPr>
        <w:tblLook w:firstColumn="1" w:firstRow="1" w:lastColumn="0" w:lastRow="0" w:noHBand="0" w:noVBand="1" w:val="04A0"/>
        <w:tblW w:w="10800" w:type="dxa"/>
      </w:tblPr>
      <w:tblGrid>
        <w:gridCol w:w="2700"/>
        <w:gridCol w:w="2700"/>
        <w:gridCol w:w="2700"/>
        <w:gridCol w:w="2700"/>
      </w:tblGrid>
      <w:tr>
        <w:tc>
          <w:tcPr>
            <w:shd w:fill="F8FAFC" w:val="clear"/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2700" w:type="dxa"/>
          </w:tcPr>
          <w:p>
            <w:pPr>
              <w:spacing w:before="160" w:after="4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44"/>
              </w:rPr>
              <w:t>2</w:t>
            </w:r>
          </w:p>
          <w:p>
            <w:pPr>
              <w:spacing w:before="0" w:after="160"/>
              <w:jc w:val="center"/>
            </w:pPr>
            <w:r>
              <w:rPr>
                <w:rFonts w:ascii="Cambria" w:hAnsi="Cambria"/>
                <w:b/>
                <w:i w:val="0"/>
                <w:color w:val="808080"/>
                <w:sz w:val="18"/>
              </w:rPr>
              <w:t>Total Forecasts</w:t>
            </w:r>
          </w:p>
        </w:tc>
        <w:tc>
          <w:tcPr>
            <w:shd w:fill="E8F5E9" w:val="clear"/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2700" w:type="dxa"/>
          </w:tcPr>
          <w:p>
            <w:pPr>
              <w:spacing w:before="160" w:after="40"/>
              <w:jc w:val="center"/>
            </w:pPr>
            <w:r/>
            <w:r>
              <w:rPr>
                <w:rFonts w:ascii="Cambria" w:hAnsi="Cambria"/>
                <w:b/>
                <w:i w:val="0"/>
                <w:color w:val="1F6F3D"/>
                <w:sz w:val="44"/>
              </w:rPr>
              <w:t>1</w:t>
            </w:r>
          </w:p>
          <w:p>
            <w:pPr>
              <w:spacing w:before="0" w:after="160"/>
              <w:jc w:val="center"/>
            </w:pPr>
            <w:r>
              <w:rPr>
                <w:rFonts w:ascii="Cambria" w:hAnsi="Cambria"/>
                <w:b/>
                <w:i w:val="0"/>
                <w:color w:val="808080"/>
                <w:sz w:val="18"/>
              </w:rPr>
              <w:t>Correct</w:t>
            </w:r>
          </w:p>
        </w:tc>
        <w:tc>
          <w:tcPr>
            <w:shd w:fill="FDECEA" w:val="clear"/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2700" w:type="dxa"/>
          </w:tcPr>
          <w:p>
            <w:pPr>
              <w:spacing w:before="160" w:after="40"/>
              <w:jc w:val="center"/>
            </w:pPr>
            <w:r/>
            <w:r>
              <w:rPr>
                <w:rFonts w:ascii="Cambria" w:hAnsi="Cambria"/>
                <w:b/>
                <w:i w:val="0"/>
                <w:color w:val="A6231F"/>
                <w:sz w:val="44"/>
              </w:rPr>
              <w:t>1</w:t>
            </w:r>
          </w:p>
          <w:p>
            <w:pPr>
              <w:spacing w:before="0" w:after="160"/>
              <w:jc w:val="center"/>
            </w:pPr>
            <w:r>
              <w:rPr>
                <w:rFonts w:ascii="Cambria" w:hAnsi="Cambria"/>
                <w:b/>
                <w:i w:val="0"/>
                <w:color w:val="808080"/>
                <w:sz w:val="18"/>
              </w:rPr>
              <w:t>Incorrect</w:t>
            </w:r>
          </w:p>
        </w:tc>
        <w:tc>
          <w:tcPr>
            <w:shd w:fill="F8FAFC" w:val="clear"/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2700" w:type="dxa"/>
          </w:tcPr>
          <w:p>
            <w:pPr>
              <w:spacing w:before="160" w:after="4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44"/>
              </w:rPr>
              <w:t>0.190</w:t>
            </w:r>
          </w:p>
          <w:p>
            <w:pPr>
              <w:spacing w:before="0" w:after="160"/>
              <w:jc w:val="center"/>
            </w:pPr>
            <w:r>
              <w:rPr>
                <w:rFonts w:ascii="Cambria" w:hAnsi="Cambria"/>
                <w:b/>
                <w:i w:val="0"/>
                <w:color w:val="808080"/>
                <w:sz w:val="18"/>
              </w:rPr>
              <w:t>AFG Brier Score</w:t>
            </w:r>
          </w:p>
        </w:tc>
      </w:tr>
    </w:tbl>
    <w:p>
      <w:pPr>
        <w:spacing w:before="160" w:after="40"/>
        <w:jc w:val="center"/>
      </w:pPr>
      <w:r>
        <w:rPr>
          <w:rFonts w:ascii="Cambria" w:hAnsi="Cambria"/>
          <w:b/>
          <w:i w:val="0"/>
          <w:color w:val="17365D"/>
          <w:sz w:val="22"/>
        </w:rPr>
        <w:t xml:space="preserve">Accuracy: </w:t>
      </w:r>
      <w:r>
        <w:rPr>
          <w:rFonts w:ascii="Cambria" w:hAnsi="Cambria"/>
          <w:b/>
          <w:i w:val="0"/>
          <w:color w:val="17365D"/>
          <w:sz w:val="26"/>
        </w:rPr>
        <w:t>50%</w:t>
      </w:r>
      <w:r>
        <w:rPr>
          <w:rFonts w:ascii="Cambria" w:hAnsi="Cambria"/>
          <w:b w:val="0"/>
          <w:i w:val="0"/>
          <w:color w:val="808080"/>
          <w:sz w:val="21"/>
        </w:rPr>
        <w:t xml:space="preserve">   |   AFG </w:t>
      </w:r>
      <w:r>
        <w:rPr>
          <w:rFonts w:ascii="Cambria" w:hAnsi="Cambria"/>
          <w:b/>
          <w:i w:val="0"/>
          <w:color w:val="A6231F"/>
          <w:sz w:val="21"/>
        </w:rPr>
        <w:t>trails the Kalshi market</w:t>
      </w:r>
      <w:r>
        <w:rPr>
          <w:rFonts w:ascii="Cambria" w:hAnsi="Cambria"/>
          <w:b w:val="0"/>
          <w:i w:val="0"/>
          <w:color w:val="808080"/>
          <w:sz w:val="21"/>
        </w:rPr>
        <w:t xml:space="preserve"> by 0.003 Brier points</w:t>
      </w:r>
      <w:r>
        <w:rPr>
          <w:rFonts w:ascii="Cambria" w:hAnsi="Cambria"/>
          <w:b w:val="0"/>
          <w:i/>
          <w:color w:val="808080"/>
          <w:sz w:val="19"/>
        </w:rPr>
        <w:t xml:space="preserve">  (Market Brier: 0.187)</w:t>
      </w:r>
    </w:p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Accuracy by Category</w:t>
      </w:r>
    </w:p>
    <w:tbl>
      <w:tblPr>
        <w:tblLook w:firstColumn="1" w:firstRow="1" w:lastColumn="0" w:lastRow="0" w:noHBand="0" w:noVBand="1" w:val="04A0"/>
        <w:tblW w:w="9600" w:type="dxa"/>
      </w:tblPr>
      <w:tblGrid>
        <w:gridCol w:w="2100"/>
        <w:gridCol w:w="1500"/>
        <w:gridCol w:w="1500"/>
        <w:gridCol w:w="1500"/>
        <w:gridCol w:w="1500"/>
        <w:gridCol w:w="1500"/>
      </w:tblGrid>
      <w:tr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Category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Forecasts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Correct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Incorrect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Accuracy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Brier Score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2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50%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0.190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Economics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—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—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—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—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—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Politics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—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—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—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—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—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—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—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—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—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—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Weather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—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—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—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—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—</w:t>
            </w:r>
          </w:p>
        </w:tc>
      </w:tr>
    </w:tbl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Recent Resolved Forecasts</w:t>
      </w:r>
    </w:p>
    <w:tbl>
      <w:tblPr>
        <w:tblLook w:firstColumn="1" w:firstRow="1" w:lastColumn="0" w:lastRow="0" w:noHBand="0" w:noVBand="1" w:val="04A0"/>
        <w:tblW w:w="10800" w:type="dxa"/>
      </w:tblPr>
      <w:tblGrid>
        <w:gridCol w:w="3500"/>
        <w:gridCol w:w="1300"/>
        <w:gridCol w:w="800"/>
        <w:gridCol w:w="800"/>
        <w:gridCol w:w="1300"/>
        <w:gridCol w:w="1000"/>
        <w:gridCol w:w="2100"/>
      </w:tblGrid>
      <w:tr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Market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Category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Kalshi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AFG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AFG Call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Outcome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Result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LeBron James Next Team — Cleveland Cavaliers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38%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28%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LeBron James Next Team — Miami Heat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48%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55%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✗ Incorrect</w:t>
            </w:r>
          </w:p>
        </w:tc>
      </w:tr>
    </w:tbl>
    <w:p>
      <w:pPr>
        <w:spacing w:before="320"/>
      </w:pPr>
      <w:r>
        <w:rPr>
          <w:rFonts w:ascii="Cambria" w:hAnsi="Cambria"/>
          <w:b w:val="0"/>
          <w:i/>
          <w:color w:val="808080"/>
          <w:sz w:val="17"/>
        </w:rPr>
        <w:t>Brier Score: 0 = perfect · 0.25 = coin flip · 1.0 = perfectly wrong.  This report is for informational purposes only and is not financial advice.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