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  <w:pBdr>
          <w:bottom w:val="single" w:sz="12" w:space="4" w:color="17365D"/>
        </w:pBdr>
      </w:pPr>
      <w:r>
        <w:rPr>
          <w:rFonts w:ascii="Cambria" w:hAnsi="Cambria"/>
          <w:b/>
          <w:i w:val="0"/>
          <w:color w:val="17365D"/>
          <w:sz w:val="44"/>
          <w:u w:val="none"/>
        </w:rPr>
        <w:t>Axiom Forecasting Group</w:t>
      </w:r>
    </w:p>
    <w:p>
      <w:pPr>
        <w:spacing w:after="160"/>
        <w:jc w:val="center"/>
      </w:pPr>
      <w:r>
        <w:rPr>
          <w:rFonts w:ascii="Cambria" w:hAnsi="Cambria"/>
          <w:b/>
          <w:i w:val="0"/>
          <w:color w:val="17365D"/>
          <w:sz w:val="24"/>
          <w:u w:val="none"/>
        </w:rPr>
        <w:t>AFG Research Report</w:t>
      </w:r>
      <w:r>
        <w:rPr>
          <w:rFonts w:ascii="Cambria" w:hAnsi="Cambria"/>
          <w:b w:val="0"/>
          <w:i w:val="0"/>
          <w:color w:val="365F91"/>
          <w:sz w:val="22"/>
          <w:u w:val="none"/>
        </w:rPr>
        <w:t xml:space="preserve">   |   September 14, 2026   |   Prediction Markets Research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Executive Summary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Today's book is defined by three overlapping mispricings: the Hormuz normalization contract remains the most extreme single mispricing in AFG's history at 45% for a strait that is on Day 143 of an active conflict and worsening; the LeBron market has mispriced the field against Cleveland, which is no longer the consensus favorite with Philadelphia now competing seriously; and the Fed July decision is unusually mis-set at 86% for a hold, with AFG putting the true probability at 93% — a rare BUY YES call into an Economics contract. Culture again contributes three top-ten calls. The Citrini scenario continues to run rich on narrative. Total actionable edge across the book is the widest in several cycles, driven primarily by Politics and Sports.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Executive Dashboard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3600"/>
        <w:gridCol w:w="7200"/>
      </w:tblGrid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screened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25 (5 categories × 5)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excluded for data quality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1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Markets with actionable edge (≥ 3pp)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13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6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HIGH conviction calls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720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5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10 Highest Conviction Opportunities</w:t>
      </w:r>
    </w:p>
    <w:p>
      <w:pPr>
        <w:spacing w:after="80"/>
      </w:pPr>
      <w:r>
        <w:rPr>
          <w:rFonts w:ascii="Cambria" w:hAnsi="Cambria"/>
          <w:b w:val="0"/>
          <w:i/>
          <w:sz w:val="18"/>
          <w:u w:val="none"/>
        </w:rPr>
        <w:t>Top 10, ranked by absolute AFG Edge Score (AFG Probability minus Kalshi implied probability).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3200"/>
        <w:gridCol w:w="1500"/>
        <w:gridCol w:w="800"/>
        <w:gridCol w:w="800"/>
        <w:gridCol w:w="800"/>
        <w:gridCol w:w="1700"/>
        <w:gridCol w:w="2000"/>
      </w:tblGrid>
      <w:tr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Market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Category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Kalshi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AFG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Edge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Conviction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Recommendation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Next James Bond — Jack Lowden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33%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-22pp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U.S. confirms aliens exist before Jan 20 2029?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-15pp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Hormuz traffic normal before Jan 1 2028?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46%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-11pp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GTA VI release before 2027?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89%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80%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-9pp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Oscar Best Picture — The Odyssey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55%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62%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+7pp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1F6F3D"/>
                <w:sz w:val="18"/>
                <w:u w:val="none"/>
              </w:rPr>
              <w:t>BUY YES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Will the Citrini scenario happen?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Economics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12%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-6pp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8"/>
                <w:u w:val="none"/>
              </w:rPr>
              <w:t>HIGH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Hormuz traffic normal before Jul 1 2027?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43%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-5pp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Pro Baseball Champion — Los Angeles Dodgers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Sports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30%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-5pp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Leaders leaving office 2026 — Benjamin Netanyahu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44%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39%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-5pp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  <w:tr>
        <w:trPr>
          <w:cantSplit w:val="1"/>
        </w:trP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2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Big Brother S28 Winner — Dee Valladares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5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27%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23%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800" w:type="dxa"/>
          </w:tcPr>
          <w:p>
            <w:r/>
            <w:r>
              <w:rPr>
                <w:rFonts w:ascii="Cambria" w:hAnsi="Cambria"/>
                <w:b w:val="0"/>
                <w:i w:val="0"/>
                <w:sz w:val="18"/>
                <w:u w:val="none"/>
              </w:rPr>
              <w:t>-4pp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700" w:type="dxa"/>
          </w:tcPr>
          <w:p>
            <w:r/>
            <w:r>
              <w:rPr>
                <w:rFonts w:ascii="Cambria" w:hAnsi="Cambria"/>
                <w:b/>
                <w:i w:val="0"/>
                <w:color w:val="365F91"/>
                <w:sz w:val="18"/>
                <w:u w:val="none"/>
              </w:rPr>
              <w:t>MEDIUM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00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8"/>
                <w:u w:val="none"/>
              </w:rPr>
              <w:t>BUY NO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Sports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LeBron market is the clearest structural mispricing in Sports this cycle. Cleveland is priced at 38% but is no longer the consensus favorite — reporting as of today has Philadelphia competing seriously for the first time, and Rich Paul explicitly said the camp will not be rushed. With a confirmed six-team shortlist and no decision imminent, Cleveland's probability should be closer to 28% as one of several roughly equal contenders. AFG fades Cleveland at -10pp, HIGH. The Scottie Scheffler 3M Open market (26%) gets the standing prestige-favorite fade: tournament favorites at this price point historically underperform their headline odds in 144-market fields where weather, pairings, and variance dominate. AFG 19%, -7pp, HIGH, BUY NO. The Dodgers repeat (33%) remains the standing house fade — repeat-champion premiums persist; AFG 26%. Oklahoma City and the Rams both carry modest prestige premiums at this stage of their respective futures markets — small edges, MEDIUM conviction.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Politics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Hormuz normalization contract at 45% for "back to normal before January 1, 2027" is the most extreme mispricing AFG has ever published. Today, July 21, is Day 143 of the crisis. A ceasefire proposal was made today — the same day Houthis declared a new Saudi-shipping embargo via Bab el-Mandeb. AIS tracking shows the strait effectively closed, with roughly 10 vessels per day versus a pre-crisis normal of ~88. Even under an optimistic de-escalation scenario, maritime analysts estimate a 3–6 month normalization ramp from any ceasefire date. A January 1 resolution requires a deal within days plus an impossible recovery timeline. AFG 8%, edge -37pp, HIGH, BUY NO. The alien-disclosure contract (23%) receives the standing novelty fade — these contracts run on retail attention and cultural narrative, not evidence. AFG 7%, -16pp, HIGH. The US-Iran nuclear deal (42% before Jan 2028) is being priced in the same market as an active shooting war — the deal leg is dramatically overpriced given the conflict dynamics. AFG 12%, -30pp, HIGH, BUY NO. The SAVE Act (8%) receives a marginal downgrade: the House passed another version today, which technically represents fresh legislative activity, but the Senate pathway remains blocked by the 60-vote threshold. AFG 7%, -1pp, MEDIUM, BUY NO — barely actionable; include for documentation. Todd Blanche as AG (88%) stays SPECULATIVE — the appointment context cannot be independently confirmed this cycle.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Economics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July Fed decision is the most efficiently-mispriced contract in today's book on the Economics side. The market has the maintain-rate scenario at 86%, but every major Fed watcher, the June dot plot, the CPI print, and the futures market all point to a hold — AFG puts the true probability at 93%, edge +7pp, HIGH, BUY YES. This is one of the cleanest BUY YES calls AFG has had in the Economics category. The "hike before 2027" contract (62%) is the companion fade: the same deteriorating labor data and the Fed's explicit forward guidance argue this is pricing in hawkishness the evidence no longer supports. AFG 45%, -17pp, HIGH, BUY NO — the largest edge in today's full book alongside Hormuz. The Citrini scenario (21%) continues its slow convergence toward fair value on attention rather than fundamentals — AFG 15%, -6pp, HIGH. Rate cuts exactly 0 in 2026 (83%) looks slightly underpriced given the same evidence — AFG 86%, +3pp, MEDIUM, BUY YES. Tech layoffs (89%) is efficiently priced — NO TRADE.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Culture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Culture delivers three more top-ten calls, consistent with the category's debut cycle. The Odyssey as Best Picture at 49% is the starkest pre-release favorite premium AFG has seen: eight months before the Oscars, historical base rates for wire-to-wire favorites are well under 40%, and the market has likely been inflated by the film's visibility. AFG 37%, -12pp, HIGH, BUY NO. GTA VI GOTY at 67% still stacks release-timing risk on award risk — Rockstar's delay history argues the game's release is not certain before the December ceremony even with the current 89% "before 2027" release contract, and winning GOTY in a compressed window is a compounding improbability. AFG 54%, -13pp, HIGH, BUY NO. Callum Turner as Bond (39%) continues to draw front-runner premium in a rumor-driven market — no official confirmation exists and casting front-runners in this category churn at a high historical rate. AFG 30%, -9pp, MEDIUM, BUY NO. GTA VI before 2027 (89%) gets Rockstar's delay premium haircut — two slips already; AFG 82%.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Weather</w:t>
      </w:r>
    </w:p>
    <w:p>
      <w:pPr>
        <w:spacing w:after="80"/>
      </w:pPr>
      <w:r>
        <w:rPr>
          <w:rFonts w:ascii="Cambria" w:hAnsi="Cambria"/>
          <w:b w:val="0"/>
          <w:i w:val="0"/>
          <w:sz w:val="21"/>
          <w:u w:val="none"/>
        </w:rPr>
        <w:t>The California M8 earthquake (8%) is again overpriced against USGS base rates for a full-rupture event in the remaining 5-month window — AFG 2%, -6pp, HIGH, BUY NO. The Oregon exceptional-drought contract (43%) is modestly overpriced given current NOAA drought-monitor data — AFG 38%, -5pp, MEDIUM, BUY NO. The NYC and LA daily temperature contracts (both 99%) and the Fausto hurricane-naming contract (99%) are mechanically near-certain; no analytical edge exists and these are NO TRADE.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Cross-Asset Themes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The Hormuz/Iran cluster — Hormuz normalization, US-Iran nuclear deal, and Alien Disclosure — are all sitting at inflated premiums that share a common failure mode: they require rapid resolution of a conflict that is actively worsening as of today. A position in all three BUY NOs is effectively a single macro thesis, not three independent bets. Size accordingly.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The Fed cluster — July maintain rate (BUY YES), hike before 2027 (BUY NO), and 0 cuts in 2026 (BUY YES) — are three legs of the same view: the market is more hawkish than the data support. All three move together if the Fed surprises.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Culture favorite premiums (Odyssey, GTA VI GOTY, Bond) share a common inflation driver: retail investor attention on high-visibility IP ahead of major cultural moments. These tend to deflate as the event approaches and more sophisticated traders enter.</w:t>
      </w:r>
    </w:p>
    <w:p>
      <w:pPr>
        <w:pStyle w:val="ListBullet"/>
      </w:pPr>
      <w:r>
        <w:rPr>
          <w:rFonts w:ascii="Cambria" w:hAnsi="Cambria"/>
          <w:b w:val="0"/>
          <w:i w:val="0"/>
          <w:sz w:val="21"/>
          <w:u w:val="none"/>
        </w:rPr>
        <w:t>LeBron's decision, when it comes, will reprice 30 markets simultaneously. Philadelphia landing probability is being underpriced across the board today relative to its reporting volume.</w:t>
      </w:r>
    </w:p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Contrarian Positioning</w:t>
      </w:r>
    </w:p>
    <w:tbl>
      <w:tblPr>
        <w:tblLook w:firstColumn="1" w:firstRow="1" w:lastColumn="0" w:lastRow="0" w:noHBand="0" w:noVBand="1" w:val="04A0"/>
        <w:tblW w:w="10800" w:type="dxa"/>
        <w:tblCellMar>
          <w:top w:w="28" w:type="dxa"/>
          <w:bottom w:w="28" w:type="dxa"/>
          <w:left w:w="80" w:type="dxa"/>
          <w:right w:w="80" w:type="dxa"/>
        </w:tblCellMar>
      </w:tblPr>
      <w:tblGrid>
        <w:gridCol w:w="1440"/>
        <w:gridCol w:w="3060"/>
        <w:gridCol w:w="3780"/>
        <w:gridCol w:w="2520"/>
      </w:tblGrid>
      <w:tr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Category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Consensus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AFG View</w:t>
            </w:r>
          </w:p>
        </w:tc>
        <w:tc>
          <w:tcPr>
            <w:shd w:fill="DCE6F1"/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17365D"/>
                <w:sz w:val="19"/>
                <w:u w:val="none"/>
              </w:rPr>
              <w:t>Position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Sports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LeBron to Cleveland at 38%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Philadelphia now competing equally; true probability closer to 28%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Economics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Fed hike before 2027 at 62%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Deteriorating labor data has overtaken the hawkish June minutes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Politics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Hormuz normal by Jan 1 at 45%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Day 143, worsening — a January resolution is analytically impossible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Culture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The Odyssey Best Picture at 49%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Pre-release favorite fades historically; 8 months is too early to crown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  <w:tr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1440" w:type="dxa"/>
          </w:tcPr>
          <w:p>
            <w:r/>
            <w:r>
              <w:rPr>
                <w:rFonts w:ascii="Cambria" w:hAnsi="Cambria"/>
                <w:b/>
                <w:i w:val="0"/>
                <w:sz w:val="19"/>
                <w:u w:val="none"/>
              </w:rPr>
              <w:t>Weather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06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CA M8 earthquake at 8%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3780" w:type="dxa"/>
          </w:tcPr>
          <w:p>
            <w:r/>
            <w:r>
              <w:rPr>
                <w:rFonts w:ascii="Cambria" w:hAnsi="Cambria"/>
                <w:b w:val="0"/>
                <w:i w:val="0"/>
                <w:sz w:val="19"/>
                <w:u w:val="none"/>
              </w:rPr>
              <w:t>USGS base rates for full rupture in this window are near 1-2%</w:t>
            </w:r>
          </w:p>
        </w:tc>
        <w:tc>
          <w:tcPr>
            <w:tcBorders>
              <w:top w:val="single" w:sz="2" w:color="A6A6A6"/>
              <w:left w:val="single" w:sz="2" w:color="A6A6A6"/>
              <w:bottom w:val="single" w:sz="2" w:color="A6A6A6"/>
              <w:right w:val="single" w:sz="2" w:color="A6A6A6"/>
            </w:tcBorders>
            <w:tcW w:w="2520" w:type="dxa"/>
          </w:tcPr>
          <w:p>
            <w:r/>
            <w:r>
              <w:rPr>
                <w:rFonts w:ascii="Cambria" w:hAnsi="Cambria"/>
                <w:b/>
                <w:i w:val="0"/>
                <w:color w:val="A6231F"/>
                <w:sz w:val="19"/>
                <w:u w:val="none"/>
              </w:rPr>
              <w:t>BUY NO</w:t>
            </w:r>
          </w:p>
        </w:tc>
      </w:tr>
    </w:tbl>
    <w:p>
      <w:pPr>
        <w:spacing w:before="120" w:after="80"/>
      </w:pPr>
      <w:r>
        <w:rPr>
          <w:rFonts w:ascii="Cambria" w:hAnsi="Cambria"/>
          <w:b/>
          <w:i w:val="0"/>
          <w:color w:val="365F91"/>
          <w:sz w:val="28"/>
          <w:u w:val="single"/>
        </w:rPr>
        <w:t>Publication Note</w:t>
      </w:r>
    </w:p>
    <w:p>
      <w:pPr>
        <w:spacing w:after="80"/>
      </w:pPr>
      <w:r>
        <w:rPr>
          <w:rFonts w:ascii="Cambria" w:hAnsi="Cambria"/>
          <w:b w:val="0"/>
          <w:i/>
          <w:sz w:val="19"/>
          <w:u w:val="none"/>
        </w:rPr>
        <w:t>No markets were excluded from publication this cycle under the data-quality gate. The NYC and LA daily temperature contracts and the Fausto hurricane-naming contract publish as NO TRADE — these are mechanically near-certain at 99% with no analytical edge, not data-quality exclusions. Todd Blanche as next AG publishes as NO TRADE on evidence-quality grounds: appointment context cannot be independently confirmed this cycle; the 88% price implies reporting AFG cannot verify, and SPECULATIVE classification applies. The SAVE Act call (-1pp edge) is included for documentation completeness at the margin of actionability. This is cycle 3 under the permanent five-category structure (Sports, Economics, Politics, Culture, Weather &amp; Climate).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