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  <w:pBdr>
          <w:bottom w:val="single" w:sz="14" w:color="17365D" w:space="4"/>
        </w:pBdr>
      </w:pPr>
      <w:r>
        <w:rPr>
          <w:rFonts w:ascii="Cambria" w:hAnsi="Cambria"/>
          <w:b/>
          <w:i w:val="0"/>
          <w:color w:val="17365D"/>
          <w:sz w:val="52"/>
        </w:rPr>
        <w:t>Axiom Forecasting Group</w:t>
      </w:r>
    </w:p>
    <w:p>
      <w:pPr>
        <w:spacing w:before="100" w:after="280"/>
        <w:jc w:val="center"/>
      </w:pPr>
      <w:r>
        <w:rPr>
          <w:rFonts w:ascii="Cambria" w:hAnsi="Cambria"/>
          <w:b/>
          <w:i w:val="0"/>
          <w:color w:val="17365D"/>
          <w:sz w:val="28"/>
        </w:rPr>
        <w:t>AFG Forecast Accuracy Index</w:t>
      </w:r>
      <w:r>
        <w:rPr>
          <w:rFonts w:ascii="Cambria" w:hAnsi="Cambria"/>
          <w:b w:val="0"/>
          <w:i w:val="0"/>
          <w:color w:val="365F91"/>
          <w:sz w:val="24"/>
        </w:rPr>
        <w:t xml:space="preserve">   |   Updated September 04, 2026</w:t>
      </w:r>
    </w:p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Overall Performance — Two Tracks</w:t>
      </w:r>
    </w:p>
    <w:p>
      <w:pPr>
        <w:spacing w:after="160"/>
      </w:pPr>
      <w:r>
        <w:rPr>
          <w:rFonts w:ascii="Cambria" w:hAnsi="Cambria"/>
          <w:b w:val="0"/>
          <w:i/>
          <w:color w:val="808080"/>
          <w:sz w:val="19"/>
        </w:rPr>
        <w:t>AFG publishes both numbers every cycle. Neither replaces the other.</w:t>
      </w:r>
    </w:p>
    <w:tbl>
      <w:tblPr>
        <w:tblLook w:firstColumn="1" w:firstRow="1" w:lastColumn="0" w:lastRow="0" w:noHBand="0" w:noVBand="1" w:val="04A0"/>
        <w:tblW w:w="10800" w:type="dxa"/>
      </w:tblPr>
      <w:tblGrid>
        <w:gridCol w:w="5400"/>
        <w:gridCol w:w="5400"/>
      </w:tblGrid>
      <w:tr>
        <w:tc>
          <w:tcPr>
            <w:shd w:fill="DCE6F1" w:val="clear"/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120" w:after="12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20"/>
              </w:rPr>
              <w:t>First-Call Accuracy  (hardest test)</w:t>
            </w:r>
          </w:p>
        </w:tc>
        <w:tc>
          <w:tcPr>
            <w:shd w:fill="DCE6F1" w:val="clear"/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120" w:after="12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20"/>
              </w:rPr>
              <w:t>Updated-Position Accuracy</w:t>
            </w:r>
          </w:p>
        </w:tc>
      </w:tr>
      <w:tr>
        <w:tc>
          <w:tcPr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200" w:after="4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52"/>
              </w:rPr>
              <w:t>5-1</w:t>
            </w:r>
          </w:p>
          <w:p>
            <w:pPr>
              <w:spacing w:after="80"/>
              <w:jc w:val="center"/>
            </w:pPr>
            <w:r>
              <w:rPr>
                <w:rFonts w:ascii="Cambria" w:hAnsi="Cambria"/>
                <w:b/>
                <w:i w:val="0"/>
                <w:color w:val="17365D"/>
                <w:sz w:val="22"/>
              </w:rPr>
              <w:t>83% accuracy</w:t>
            </w:r>
          </w:p>
          <w:p>
            <w:pPr>
              <w:spacing w:after="40"/>
              <w:jc w:val="center"/>
            </w:pPr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AFG Brier 0.134</w:t>
            </w:r>
          </w:p>
          <w:p>
            <w:pPr>
              <w:spacing w:after="200"/>
              <w:jc w:val="center"/>
            </w:pPr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beats market by 0.044</w:t>
            </w:r>
          </w:p>
        </w:tc>
        <w:tc>
          <w:tcPr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200" w:after="4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52"/>
              </w:rPr>
              <w:t>5-1</w:t>
            </w:r>
          </w:p>
          <w:p>
            <w:pPr>
              <w:spacing w:after="80"/>
              <w:jc w:val="center"/>
            </w:pPr>
            <w:r>
              <w:rPr>
                <w:rFonts w:ascii="Cambria" w:hAnsi="Cambria"/>
                <w:b/>
                <w:i w:val="0"/>
                <w:color w:val="17365D"/>
                <w:sz w:val="22"/>
              </w:rPr>
              <w:t>83% accuracy</w:t>
            </w:r>
          </w:p>
          <w:p>
            <w:pPr>
              <w:spacing w:after="40"/>
              <w:jc w:val="center"/>
            </w:pPr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AFG Brier 0.129</w:t>
            </w:r>
          </w:p>
          <w:p>
            <w:pPr>
              <w:spacing w:after="200"/>
              <w:jc w:val="center"/>
            </w:pPr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beats market by 0.045</w:t>
            </w:r>
          </w:p>
        </w:tc>
      </w:tr>
    </w:tbl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Accuracy by Category</w:t>
      </w:r>
    </w:p>
    <w:tbl>
      <w:tblPr>
        <w:tblLook w:firstColumn="1" w:firstRow="1" w:lastColumn="0" w:lastRow="0" w:noHBand="0" w:noVBand="1" w:val="04A0"/>
        <w:tblW w:w="9600" w:type="dxa"/>
      </w:tblPr>
      <w:tblGrid>
        <w:gridCol w:w="2100"/>
        <w:gridCol w:w="1500"/>
        <w:gridCol w:w="1500"/>
        <w:gridCol w:w="1500"/>
        <w:gridCol w:w="1500"/>
        <w:gridCol w:w="1500"/>
      </w:tblGrid>
      <w:tr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Category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Forecasts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Correct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Incorrect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Accuracy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Brier Score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2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50%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0.190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Economics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100%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0.014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Politics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100%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0.014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100%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0.250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100%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0.144</w:t>
            </w:r>
          </w:p>
        </w:tc>
      </w:tr>
    </w:tbl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Recent Resolved Forecasts</w:t>
      </w:r>
    </w:p>
    <w:tbl>
      <w:tblPr>
        <w:tblLook w:firstColumn="1" w:firstRow="1" w:lastColumn="0" w:lastRow="0" w:noHBand="0" w:noVBand="1" w:val="04A0"/>
        <w:tblW w:w="10800" w:type="dxa"/>
      </w:tblPr>
      <w:tblGrid>
        <w:gridCol w:w="3500"/>
        <w:gridCol w:w="1300"/>
        <w:gridCol w:w="800"/>
        <w:gridCol w:w="800"/>
        <w:gridCol w:w="1300"/>
        <w:gridCol w:w="1000"/>
        <w:gridCol w:w="2100"/>
      </w:tblGrid>
      <w:tr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Market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Category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Kalshi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AFG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AFG Call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Outcome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Result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Exceptional drought — Oregon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43%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38%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Fed decision in July — Maintains rate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Economics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86%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93%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Trump next Attorney General — Todd Blanche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Politics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81%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88%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Spider-Man Brand New Day — RT score above 90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64%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50%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LeBron James Next Team — Cleveland Cavaliers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38%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28%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LeBron James Next Team — Miami Heat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48%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55%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✗ Incorrect</w:t>
            </w:r>
          </w:p>
        </w:tc>
      </w:tr>
    </w:tbl>
    <w:p>
      <w:pPr>
        <w:spacing w:before="320"/>
      </w:pPr>
      <w:r>
        <w:rPr>
          <w:rFonts w:ascii="Cambria" w:hAnsi="Cambria"/>
          <w:b w:val="0"/>
          <w:i/>
          <w:color w:val="808080"/>
          <w:sz w:val="17"/>
        </w:rPr>
        <w:t>Brier Score: 0 = perfect · 0.25 = coin flip · 1.0 = perfectly wrong.  This report is for informational purposes only and is not financial advice.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