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  <w:pBdr>
          <w:bottom w:val="single" w:sz="14" w:color="17365D" w:space="4"/>
        </w:pBdr>
      </w:pPr>
      <w:r>
        <w:rPr>
          <w:rFonts w:ascii="Cambria" w:hAnsi="Cambria"/>
          <w:b/>
          <w:i w:val="0"/>
          <w:color w:val="17365D"/>
          <w:sz w:val="52"/>
        </w:rPr>
        <w:t>Axiom Forecasting Group</w:t>
      </w:r>
    </w:p>
    <w:p>
      <w:pPr>
        <w:spacing w:before="100" w:after="280"/>
        <w:jc w:val="center"/>
      </w:pPr>
      <w:r>
        <w:rPr>
          <w:rFonts w:ascii="Cambria" w:hAnsi="Cambria"/>
          <w:b/>
          <w:i w:val="0"/>
          <w:color w:val="17365D"/>
          <w:sz w:val="28"/>
        </w:rPr>
        <w:t>AFG Forecast Accuracy Index</w:t>
      </w:r>
      <w:r>
        <w:rPr>
          <w:rFonts w:ascii="Cambria" w:hAnsi="Cambria"/>
          <w:b w:val="0"/>
          <w:i w:val="0"/>
          <w:color w:val="365F91"/>
          <w:sz w:val="24"/>
        </w:rPr>
        <w:t xml:space="preserve">   |   Updated October 05, 2026</w:t>
      </w:r>
    </w:p>
    <w:p>
      <w:pPr>
        <w:spacing w:before="280" w:after="80"/>
        <w:pBdr>
          <w:bottom w:val="single" w:sz="6" w:color="365F91" w:space="3"/>
        </w:pBdr>
      </w:pPr>
      <w:r>
        <w:rPr>
          <w:rFonts w:ascii="Cambria" w:hAnsi="Cambria"/>
          <w:b/>
          <w:i w:val="0"/>
          <w:color w:val="365F91"/>
          <w:sz w:val="26"/>
        </w:rPr>
        <w:t>Overall Performance — Two Tracks</w:t>
      </w:r>
    </w:p>
    <w:p>
      <w:pPr>
        <w:spacing w:after="160"/>
      </w:pPr>
      <w:r>
        <w:rPr>
          <w:rFonts w:ascii="Cambria" w:hAnsi="Cambria"/>
          <w:b w:val="0"/>
          <w:i/>
          <w:color w:val="808080"/>
          <w:sz w:val="19"/>
        </w:rPr>
        <w:t>AFG publishes both numbers every cycle. Neither replaces the other.</w:t>
      </w:r>
    </w:p>
    <w:tbl>
      <w:tblPr>
        <w:tblLook w:firstColumn="1" w:firstRow="1" w:lastColumn="0" w:lastRow="0" w:noHBand="0" w:noVBand="1" w:val="04A0"/>
        <w:tblW w:w="10800" w:type="dxa"/>
      </w:tblPr>
      <w:tblGrid>
        <w:gridCol w:w="5400"/>
        <w:gridCol w:w="5400"/>
      </w:tblGrid>
      <w:tr>
        <w:tc>
          <w:tcPr>
            <w:shd w:fill="DCE6F1" w:val="clear"/>
            <w:tcBorders>
              <w:top w:val="single" w:sz="2" w:color="C8D4E8"/>
              <w:left w:val="single" w:sz="2" w:color="C8D4E8"/>
              <w:bottom w:val="single" w:sz="2" w:color="C8D4E8"/>
              <w:right w:val="single" w:sz="2" w:color="C8D4E8"/>
            </w:tcBorders>
            <w:tcW w:w="5400" w:type="dxa"/>
          </w:tcPr>
          <w:p>
            <w:pPr>
              <w:spacing w:before="120" w:after="120"/>
              <w:jc w:val="center"/>
            </w:pPr>
            <w:r/>
            <w:r>
              <w:rPr>
                <w:rFonts w:ascii="Cambria" w:hAnsi="Cambria"/>
                <w:b/>
                <w:i w:val="0"/>
                <w:color w:val="17365D"/>
                <w:sz w:val="20"/>
              </w:rPr>
              <w:t>First-Call Accuracy  (hardest test)</w:t>
            </w:r>
          </w:p>
        </w:tc>
        <w:tc>
          <w:tcPr>
            <w:shd w:fill="DCE6F1" w:val="clear"/>
            <w:tcBorders>
              <w:top w:val="single" w:sz="2" w:color="C8D4E8"/>
              <w:left w:val="single" w:sz="2" w:color="C8D4E8"/>
              <w:bottom w:val="single" w:sz="2" w:color="C8D4E8"/>
              <w:right w:val="single" w:sz="2" w:color="C8D4E8"/>
            </w:tcBorders>
            <w:tcW w:w="5400" w:type="dxa"/>
          </w:tcPr>
          <w:p>
            <w:pPr>
              <w:spacing w:before="120" w:after="120"/>
              <w:jc w:val="center"/>
            </w:pPr>
            <w:r/>
            <w:r>
              <w:rPr>
                <w:rFonts w:ascii="Cambria" w:hAnsi="Cambria"/>
                <w:b/>
                <w:i w:val="0"/>
                <w:color w:val="17365D"/>
                <w:sz w:val="20"/>
              </w:rPr>
              <w:t>Updated-Position Accuracy</w:t>
            </w:r>
          </w:p>
        </w:tc>
      </w:tr>
      <w:tr>
        <w:tc>
          <w:tcPr>
            <w:tcBorders>
              <w:top w:val="single" w:sz="2" w:color="C8D4E8"/>
              <w:left w:val="single" w:sz="2" w:color="C8D4E8"/>
              <w:bottom w:val="single" w:sz="2" w:color="C8D4E8"/>
              <w:right w:val="single" w:sz="2" w:color="C8D4E8"/>
            </w:tcBorders>
            <w:tcW w:w="5400" w:type="dxa"/>
          </w:tcPr>
          <w:p>
            <w:pPr>
              <w:spacing w:before="200" w:after="40"/>
              <w:jc w:val="center"/>
            </w:pPr>
            <w:r/>
            <w:r>
              <w:rPr>
                <w:rFonts w:ascii="Cambria" w:hAnsi="Cambria"/>
                <w:b/>
                <w:i w:val="0"/>
                <w:color w:val="17365D"/>
                <w:sz w:val="52"/>
              </w:rPr>
              <w:t>8-3</w:t>
            </w:r>
          </w:p>
          <w:p>
            <w:pPr>
              <w:spacing w:after="80"/>
              <w:jc w:val="center"/>
            </w:pPr>
            <w:r>
              <w:rPr>
                <w:rFonts w:ascii="Cambria" w:hAnsi="Cambria"/>
                <w:b/>
                <w:i w:val="0"/>
                <w:color w:val="17365D"/>
                <w:sz w:val="22"/>
              </w:rPr>
              <w:t>73% accuracy</w:t>
            </w:r>
          </w:p>
          <w:p>
            <w:pPr>
              <w:spacing w:after="40"/>
              <w:jc w:val="center"/>
            </w:pPr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AFG Brier 0.174</w:t>
            </w:r>
          </w:p>
          <w:p>
            <w:pPr>
              <w:spacing w:after="200"/>
              <w:jc w:val="center"/>
            </w:pPr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beats market by 0.007</w:t>
            </w:r>
          </w:p>
        </w:tc>
        <w:tc>
          <w:tcPr>
            <w:tcBorders>
              <w:top w:val="single" w:sz="2" w:color="C8D4E8"/>
              <w:left w:val="single" w:sz="2" w:color="C8D4E8"/>
              <w:bottom w:val="single" w:sz="2" w:color="C8D4E8"/>
              <w:right w:val="single" w:sz="2" w:color="C8D4E8"/>
            </w:tcBorders>
            <w:tcW w:w="5400" w:type="dxa"/>
          </w:tcPr>
          <w:p>
            <w:pPr>
              <w:spacing w:before="200" w:after="40"/>
              <w:jc w:val="center"/>
            </w:pPr>
            <w:r/>
            <w:r>
              <w:rPr>
                <w:rFonts w:ascii="Cambria" w:hAnsi="Cambria"/>
                <w:b/>
                <w:i w:val="0"/>
                <w:color w:val="17365D"/>
                <w:sz w:val="52"/>
              </w:rPr>
              <w:t>8-2</w:t>
            </w:r>
          </w:p>
          <w:p>
            <w:pPr>
              <w:spacing w:after="80"/>
              <w:jc w:val="center"/>
            </w:pPr>
            <w:r>
              <w:rPr>
                <w:rFonts w:ascii="Cambria" w:hAnsi="Cambria"/>
                <w:b/>
                <w:i w:val="0"/>
                <w:color w:val="17365D"/>
                <w:sz w:val="22"/>
              </w:rPr>
              <w:t>80% accuracy</w:t>
            </w:r>
          </w:p>
          <w:p>
            <w:pPr>
              <w:spacing w:after="40"/>
              <w:jc w:val="center"/>
            </w:pPr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AFG Brier 0.130</w:t>
            </w:r>
          </w:p>
          <w:p>
            <w:pPr>
              <w:spacing w:after="200"/>
              <w:jc w:val="center"/>
            </w:pPr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beats market by 0.025</w:t>
            </w:r>
          </w:p>
        </w:tc>
      </w:tr>
    </w:tbl>
    <w:p>
      <w:pPr>
        <w:spacing w:before="280" w:after="80"/>
        <w:pBdr>
          <w:bottom w:val="single" w:sz="6" w:color="365F91" w:space="3"/>
        </w:pBdr>
      </w:pPr>
      <w:r>
        <w:rPr>
          <w:rFonts w:ascii="Cambria" w:hAnsi="Cambria"/>
          <w:b/>
          <w:i w:val="0"/>
          <w:color w:val="365F91"/>
          <w:sz w:val="26"/>
        </w:rPr>
        <w:t>Accuracy by Category</w:t>
      </w:r>
    </w:p>
    <w:tbl>
      <w:tblPr>
        <w:tblLook w:firstColumn="1" w:firstRow="1" w:lastColumn="0" w:lastRow="0" w:noHBand="0" w:noVBand="1" w:val="04A0"/>
        <w:tblW w:w="9600" w:type="dxa"/>
      </w:tblPr>
      <w:tblGrid>
        <w:gridCol w:w="2100"/>
        <w:gridCol w:w="1500"/>
        <w:gridCol w:w="1500"/>
        <w:gridCol w:w="1500"/>
        <w:gridCol w:w="1500"/>
        <w:gridCol w:w="1500"/>
      </w:tblGrid>
      <w:tr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Category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Forecasts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Correct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Incorrect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Accuracy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Brier Score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Sports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2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50%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0.190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Economics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2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50%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0.296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Politics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0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100%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0.014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Culture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5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4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80%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0.156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Weather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0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100%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0.144</w:t>
            </w:r>
          </w:p>
        </w:tc>
      </w:tr>
    </w:tbl>
    <w:p>
      <w:pPr>
        <w:spacing w:before="280" w:after="80"/>
        <w:pBdr>
          <w:bottom w:val="single" w:sz="6" w:color="365F91" w:space="3"/>
        </w:pBdr>
      </w:pPr>
      <w:r>
        <w:rPr>
          <w:rFonts w:ascii="Cambria" w:hAnsi="Cambria"/>
          <w:b/>
          <w:i w:val="0"/>
          <w:color w:val="365F91"/>
          <w:sz w:val="26"/>
        </w:rPr>
        <w:t>Recent Resolved Forecasts</w:t>
      </w:r>
    </w:p>
    <w:tbl>
      <w:tblPr>
        <w:tblLook w:firstColumn="1" w:firstRow="1" w:lastColumn="0" w:lastRow="0" w:noHBand="0" w:noVBand="1" w:val="04A0"/>
        <w:tblW w:w="10800" w:type="dxa"/>
      </w:tblPr>
      <w:tblGrid>
        <w:gridCol w:w="3500"/>
        <w:gridCol w:w="1300"/>
        <w:gridCol w:w="800"/>
        <w:gridCol w:w="800"/>
        <w:gridCol w:w="1300"/>
        <w:gridCol w:w="1000"/>
        <w:gridCol w:w="2100"/>
      </w:tblGrid>
      <w:tr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Market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Category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Kalshi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AFG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AFG Call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Outcome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Result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Trump next Attorney General — Todd Blanche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Politics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81%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88%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Spider-Man Brand New Day — RT score above 90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Culture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64%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50%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Big Brother S28 Winner — Dee Valladares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Culture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19%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16%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LeBron James Next Team — Cleveland Cavaliers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Sports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38%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28%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LeBron James Next Team — Miami Heat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Sports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48%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55%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✗ Incorrect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Big Brother S28 Winner — Yash Patel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Culture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28%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22%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Big Brother S28 Winner — Rick Devens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Culture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51%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42%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✗ Incorrect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Big Brother S28 Winner — Drew Campbell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Culture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39%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32%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Fed decision in September — Maintains rate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Economics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64%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76%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✗ Incorrect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Exceptional drought — Oregon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Weather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43%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38%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Fed decision in July — Maintains rate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Economics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86%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93%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</w:tbl>
    <w:p>
      <w:pPr>
        <w:spacing w:before="280" w:after="80"/>
        <w:pBdr>
          <w:bottom w:val="single" w:sz="6" w:color="365F91" w:space="3"/>
        </w:pBdr>
      </w:pPr>
      <w:r>
        <w:rPr>
          <w:rFonts w:ascii="Cambria" w:hAnsi="Cambria"/>
          <w:b/>
          <w:i w:val="0"/>
          <w:color w:val="365F91"/>
          <w:sz w:val="26"/>
        </w:rPr>
        <w:t>Closed Positions</w:t>
      </w:r>
    </w:p>
    <w:p>
      <w:pPr>
        <w:spacing w:after="120"/>
      </w:pPr>
      <w:r>
        <w:rPr>
          <w:rFonts w:ascii="Cambria" w:hAnsi="Cambria"/>
          <w:b w:val="0"/>
          <w:i/>
          <w:color w:val="808080"/>
          <w:sz w:val="18"/>
        </w:rPr>
        <w:t>Contracts AFG exited before resolution. A subscriber following AFG held no position at settlement. The First-Call track above still scores the original call; the Updated-Position track excludes these. Shown here with the outcome so the record is complete.</w:t>
      </w:r>
    </w:p>
    <w:tbl>
      <w:tblPr>
        <w:tblLook w:firstColumn="1" w:firstRow="1" w:lastColumn="0" w:lastRow="0" w:noHBand="0" w:noVBand="1" w:val="04A0"/>
        <w:tblW w:w="10800" w:type="dxa"/>
      </w:tblPr>
      <w:tblGrid>
        <w:gridCol w:w="3200"/>
        <w:gridCol w:w="1700"/>
        <w:gridCol w:w="1400"/>
        <w:gridCol w:w="1400"/>
        <w:gridCol w:w="3100"/>
      </w:tblGrid>
      <w:tr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2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Market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7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Original Call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4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Closed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4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Outcome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1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Original Call Would Have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2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Fed decision in September — Mainta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7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 @ 76%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4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2026-08-31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4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been Incorrect</w:t>
            </w:r>
          </w:p>
        </w:tc>
      </w:tr>
    </w:tbl>
    <w:p>
      <w:pPr>
        <w:spacing w:before="320"/>
      </w:pPr>
      <w:r>
        <w:rPr>
          <w:rFonts w:ascii="Cambria" w:hAnsi="Cambria"/>
          <w:b w:val="0"/>
          <w:i/>
          <w:color w:val="808080"/>
          <w:sz w:val="17"/>
        </w:rPr>
        <w:t>Brier Score: 0 = perfect · 0.25 = coin flip · 1.0 = perfectly wrong.  This report is for informational purposes only and is not financial advice.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