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  <w:pBdr>
          <w:bottom w:val="single" w:sz="14" w:color="17365D" w:space="4"/>
        </w:pBdr>
      </w:pPr>
      <w:r>
        <w:rPr>
          <w:rFonts w:ascii="Cambria" w:hAnsi="Cambria"/>
          <w:b/>
          <w:i w:val="0"/>
          <w:color w:val="17365D"/>
          <w:sz w:val="52"/>
        </w:rPr>
        <w:t>Axiom Forecasting Group</w:t>
      </w:r>
    </w:p>
    <w:p>
      <w:pPr>
        <w:spacing w:before="100" w:after="280"/>
        <w:jc w:val="center"/>
      </w:pPr>
      <w:r>
        <w:rPr>
          <w:rFonts w:ascii="Cambria" w:hAnsi="Cambria"/>
          <w:b/>
          <w:i w:val="0"/>
          <w:color w:val="17365D"/>
          <w:sz w:val="28"/>
        </w:rPr>
        <w:t>AFG Forecast Accuracy Index</w:t>
      </w:r>
      <w:r>
        <w:rPr>
          <w:rFonts w:ascii="Cambria" w:hAnsi="Cambria"/>
          <w:b w:val="0"/>
          <w:i w:val="0"/>
          <w:color w:val="365F91"/>
          <w:sz w:val="24"/>
        </w:rPr>
        <w:t xml:space="preserve">   |   Updated October 23, 2026</w:t>
      </w:r>
    </w:p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Overall Performance — Two Tracks</w:t>
      </w:r>
    </w:p>
    <w:p>
      <w:pPr>
        <w:spacing w:after="160"/>
      </w:pPr>
      <w:r>
        <w:rPr>
          <w:rFonts w:ascii="Cambria" w:hAnsi="Cambria"/>
          <w:b w:val="0"/>
          <w:i/>
          <w:color w:val="808080"/>
          <w:sz w:val="19"/>
        </w:rPr>
        <w:t>AFG publishes both numbers every cycle. Neither replaces the other.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5400"/>
        <w:gridCol w:w="5400"/>
      </w:tblGrid>
      <w:tr>
        <w:tc>
          <w:tcPr>
            <w:shd w:fill="DCE6F1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120" w:after="12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20"/>
              </w:rPr>
              <w:t>First-Call Accuracy  (hardest test)</w:t>
            </w:r>
          </w:p>
        </w:tc>
        <w:tc>
          <w:tcPr>
            <w:shd w:fill="DCE6F1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120" w:after="12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20"/>
              </w:rPr>
              <w:t>Updated-Position Accuracy</w:t>
            </w:r>
          </w:p>
        </w:tc>
      </w:tr>
      <w:tr>
        <w:tc>
          <w:tcPr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20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52"/>
              </w:rPr>
              <w:t>14-13</w:t>
            </w:r>
          </w:p>
          <w:p>
            <w:pPr>
              <w:spacing w:after="80"/>
              <w:jc w:val="center"/>
            </w:pPr>
            <w:r>
              <w:rPr>
                <w:rFonts w:ascii="Cambria" w:hAnsi="Cambria"/>
                <w:b/>
                <w:i w:val="0"/>
                <w:color w:val="17365D"/>
                <w:sz w:val="22"/>
              </w:rPr>
              <w:t>52% accuracy</w:t>
            </w:r>
          </w:p>
          <w:p>
            <w:pPr>
              <w:spacing w:after="40"/>
              <w:jc w:val="center"/>
            </w:pPr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AFG Brier 0.256</w:t>
            </w:r>
          </w:p>
          <w:p>
            <w:pPr>
              <w:spacing w:after="200"/>
              <w:jc w:val="center"/>
            </w:pPr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trails market by 0.021</w:t>
            </w:r>
          </w:p>
        </w:tc>
        <w:tc>
          <w:tcPr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20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52"/>
              </w:rPr>
              <w:t>14-7</w:t>
            </w:r>
          </w:p>
          <w:p>
            <w:pPr>
              <w:spacing w:after="80"/>
              <w:jc w:val="center"/>
            </w:pPr>
            <w:r>
              <w:rPr>
                <w:rFonts w:ascii="Cambria" w:hAnsi="Cambria"/>
                <w:b/>
                <w:i w:val="0"/>
                <w:color w:val="17365D"/>
                <w:sz w:val="22"/>
              </w:rPr>
              <w:t>67% accuracy</w:t>
            </w:r>
          </w:p>
          <w:p>
            <w:pPr>
              <w:spacing w:after="40"/>
              <w:jc w:val="center"/>
            </w:pPr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AFG Brier 0.236</w:t>
            </w:r>
          </w:p>
          <w:p>
            <w:pPr>
              <w:spacing w:after="200"/>
              <w:jc w:val="center"/>
            </w:pPr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trails market by 0.012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Accuracy by Category</w:t>
      </w:r>
    </w:p>
    <w:tbl>
      <w:tblPr>
        <w:tblLook w:firstColumn="1" w:firstRow="1" w:lastColumn="0" w:lastRow="0" w:noHBand="0" w:noVBand="1" w:val="04A0"/>
        <w:tblW w:w="9600" w:type="dxa"/>
      </w:tblPr>
      <w:tblGrid>
        <w:gridCol w:w="2100"/>
        <w:gridCol w:w="1500"/>
        <w:gridCol w:w="1500"/>
        <w:gridCol w:w="1500"/>
        <w:gridCol w:w="1500"/>
        <w:gridCol w:w="15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Forecasts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Incorrect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Accuracy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Brier Score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8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4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4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0.257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3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33%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0.295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0.216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6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5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83%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0.186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8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4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4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0.301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Recent Resolved Forecasts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500"/>
        <w:gridCol w:w="1300"/>
        <w:gridCol w:w="800"/>
        <w:gridCol w:w="800"/>
        <w:gridCol w:w="1300"/>
        <w:gridCol w:w="1000"/>
        <w:gridCol w:w="21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Kalshi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Outcome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Result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Trump next Attorney General — Todd Blanche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65%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Spider-Man Brand New Day — RT score above 90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64%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Pro Baseball Champion — Los Angeles Dodgers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Major Atlantic hurricanes 2026 — Above 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32%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22%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First Atlantic hurricane — Fay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37%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First Atlantic hurricane — Gonzalo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29%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First Atlantic hurricane — Hanna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First Atlantic hurricane — Isaias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37%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30%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Cleveland Cavaliers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Miami Heat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Big Brother S28 Winner — Rick Devens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37%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30%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Big Brother S28 Winner — Drew Campbell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39%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32%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Big Brother S28 Winner — Yash Patel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22%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Blanche AG nomination advances committee bef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61%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52%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Big Brother S28 Winner — Dee Valladares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19%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15%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Position Changes</w:t>
      </w:r>
    </w:p>
    <w:p>
      <w:pPr>
        <w:spacing w:after="120"/>
      </w:pPr>
      <w:r>
        <w:rPr>
          <w:rFonts w:ascii="Cambria" w:hAnsi="Cambria"/>
          <w:b w:val="0"/>
          <w:i/>
          <w:color w:val="808080"/>
          <w:sz w:val="18"/>
        </w:rPr>
        <w:t>Markets where AFG's published call changed direction before resolution. The First-Call track above scores the original call; the Updated-Position track scores the call shown here as "Last Call."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600"/>
        <w:gridCol w:w="1800"/>
        <w:gridCol w:w="1800"/>
        <w:gridCol w:w="1800"/>
        <w:gridCol w:w="18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6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First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First Result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Last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Last Result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6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Trump next Attorney General — Todd Bla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 @ 55%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Incorrect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 @ 88%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6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Next Fed rate hike — Before 2027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 @ 45%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Incorrect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 @ 80%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6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Exceptional drought — Oregon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 @ 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Correct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 @ 72%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Incorrect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Closed Positions</w:t>
      </w:r>
    </w:p>
    <w:p>
      <w:pPr>
        <w:spacing w:after="120"/>
      </w:pPr>
      <w:r>
        <w:rPr>
          <w:rFonts w:ascii="Cambria" w:hAnsi="Cambria"/>
          <w:b w:val="0"/>
          <w:i/>
          <w:color w:val="808080"/>
          <w:sz w:val="18"/>
        </w:rPr>
        <w:t>Contracts AFG exited before resolution. A subscriber following AFG held no position at settlement. The First-Call track above still scores the original call; the Updated-Position track excludes these. Shown here with the outcome so the record is complete.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200"/>
        <w:gridCol w:w="1700"/>
        <w:gridCol w:w="1400"/>
        <w:gridCol w:w="1400"/>
        <w:gridCol w:w="31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Original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Closed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Outcome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Original Call Would Have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Major Atlantic hurricanes 2026 — A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 @ 22%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2026-10-07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been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First Atlantic hurricane — Isaias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 @ 30%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2026-10-07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been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Next Fed rate hike — Before 2027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 @ 45%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2026-09-11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been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US Open Men's Singles — Carlos Alc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 @ 33%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2026-09-02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been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Fed decision in September — Mainta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 @ 76%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2026-08-31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been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This July 2026 is the hottest July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 @ 24%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2026-08-12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been Incorrect</w:t>
            </w:r>
          </w:p>
        </w:tc>
      </w:tr>
    </w:tbl>
    <w:p>
      <w:pPr>
        <w:spacing w:before="320"/>
      </w:pPr>
      <w:r>
        <w:rPr>
          <w:rFonts w:ascii="Cambria" w:hAnsi="Cambria"/>
          <w:b w:val="0"/>
          <w:i/>
          <w:color w:val="808080"/>
          <w:sz w:val="17"/>
        </w:rPr>
        <w:t>Brier Score: 0 = perfect · 0.25 = coin flip · 1.0 = perfectly wrong.  This report is for informational purposes only and is not financial advice.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