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30F2C8">
      <w:pPr>
        <w:jc w:val="center"/>
        <w:rPr>
          <w:rFonts w:hint="eastAsia" w:ascii="华文中宋" w:hAnsi="华文中宋" w:eastAsia="华文中宋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中国大学生计算机设计大赛</w:t>
      </w:r>
    </w:p>
    <w:p w14:paraId="4D0FCE79">
      <w:pPr>
        <w:jc w:val="center"/>
        <w:rPr>
          <w:rFonts w:hint="eastAsia" w:ascii="黑体" w:hAnsi="黑体" w:eastAsia="黑体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</w:t>
      </w:r>
      <w:r>
        <w:rPr>
          <w:rFonts w:hint="eastAsia" w:ascii="黑体" w:hAnsi="黑体" w:eastAsia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工具使用说明</w:t>
      </w:r>
      <w:r>
        <w:rPr>
          <w:rFonts w:hint="eastAsia" w:ascii="黑体" w:hAnsi="黑体" w:eastAsia="黑体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(2</w:t>
      </w:r>
      <w:r>
        <w:rPr>
          <w:rFonts w:ascii="黑体" w:hAnsi="黑体" w:eastAsia="黑体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黑体" w:hAnsi="黑体" w:eastAsia="黑体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黑体" w:hAnsi="黑体" w:eastAsia="黑体"/>
          <w:color w:val="000000" w:themeColor="text1"/>
          <w:sz w:val="16"/>
          <w:szCs w:val="16"/>
          <w:lang w:val="en-US" w:eastAsia="zh-CN"/>
          <w14:textFill>
            <w14:solidFill>
              <w14:schemeClr w14:val="tx1"/>
            </w14:solidFill>
          </w14:textFill>
        </w:rPr>
        <w:t>6年</w:t>
      </w:r>
      <w:r>
        <w:rPr>
          <w:rFonts w:hint="eastAsia" w:ascii="黑体" w:hAnsi="黑体" w:eastAsia="黑体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版)</w:t>
      </w:r>
    </w:p>
    <w:p w14:paraId="19BD0303">
      <w:pPr>
        <w:keepNext w:val="0"/>
        <w:keepLines w:val="0"/>
        <w:widowControl/>
        <w:suppressLineNumbers w:val="0"/>
        <w:jc w:val="left"/>
        <w:rPr>
          <w:rFonts w:hint="eastAsia" w:ascii="Arial" w:hAnsi="Arial" w:eastAsia="宋体" w:cs="Arial"/>
          <w:color w:val="333333"/>
          <w:kern w:val="0"/>
          <w:szCs w:val="21"/>
        </w:rPr>
      </w:pPr>
      <w:r>
        <w:rPr>
          <w:rFonts w:hint="eastAsia" w:ascii="Times New Roman" w:hAnsi="Times New Roman" w:eastAsia="宋体" w:cs="Times New Roman"/>
          <w:szCs w:val="20"/>
          <w:lang w:val="en-US" w:eastAsia="zh-CN"/>
        </w:rPr>
        <w:t>作品编号：</w:t>
      </w:r>
      <w:r>
        <w:rPr>
          <w:rFonts w:hint="eastAsia" w:ascii="Times New Roman" w:hAnsi="Times New Roman" w:eastAsia="宋体" w:cs="Times New Roman"/>
          <w:szCs w:val="20"/>
          <w:u w:val="single"/>
          <w:lang w:val="en-US" w:eastAsia="zh-CN"/>
        </w:rPr>
        <w:t xml:space="preserve">  202601010078  </w:t>
      </w:r>
      <w:r>
        <w:rPr>
          <w:rFonts w:hint="eastAsia" w:ascii="Times New Roman" w:hAnsi="Times New Roman" w:eastAsia="宋体" w:cs="Times New Roman"/>
          <w:szCs w:val="20"/>
          <w:lang w:val="en-US" w:eastAsia="zh-CN"/>
        </w:rPr>
        <w:t>作品名称：</w:t>
      </w:r>
      <w:r>
        <w:rPr>
          <w:rFonts w:hint="eastAsia" w:ascii="Times New Roman" w:hAnsi="Times New Roman" w:eastAsia="宋体" w:cs="Times New Roman"/>
          <w:szCs w:val="20"/>
          <w:u w:val="single"/>
          <w:lang w:val="en-US" w:eastAsia="zh-CN"/>
        </w:rPr>
        <w:t xml:space="preserve">    心宇宙重塑：房树人心里图像趣测   </w:t>
      </w:r>
      <w:r>
        <w:rPr>
          <w:rFonts w:hint="eastAsia" w:ascii="Times New Roman" w:hAnsi="Times New Roman" w:eastAsia="宋体" w:cs="Times New Roman"/>
          <w:szCs w:val="20"/>
          <w:lang w:val="en-US" w:eastAsia="zh-CN"/>
        </w:rPr>
        <w:t>　</w:t>
      </w:r>
    </w:p>
    <w:tbl>
      <w:tblPr>
        <w:tblStyle w:val="6"/>
        <w:tblW w:w="134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"/>
        <w:gridCol w:w="2106"/>
        <w:gridCol w:w="2741"/>
        <w:gridCol w:w="2727"/>
        <w:gridCol w:w="1849"/>
        <w:gridCol w:w="1895"/>
        <w:gridCol w:w="1646"/>
      </w:tblGrid>
      <w:tr w14:paraId="6799F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4241FE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序号</w:t>
            </w:r>
          </w:p>
        </w:tc>
        <w:tc>
          <w:tcPr>
            <w:tcW w:w="2106" w:type="dxa"/>
            <w:vAlign w:val="center"/>
          </w:tcPr>
          <w:p w14:paraId="2DBA0B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AI工具的名称、版本、访问方式（网页、API或客户端），使用时间</w:t>
            </w:r>
          </w:p>
        </w:tc>
        <w:tc>
          <w:tcPr>
            <w:tcW w:w="2741" w:type="dxa"/>
            <w:vAlign w:val="center"/>
          </w:tcPr>
          <w:p w14:paraId="35BAEF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使用AI工具的环节与目的（立项构思、文献综述、语言润色、内容生成、图表优化、代码编程、数据分析等）</w:t>
            </w:r>
          </w:p>
        </w:tc>
        <w:tc>
          <w:tcPr>
            <w:tcW w:w="2727" w:type="dxa"/>
            <w:vAlign w:val="center"/>
          </w:tcPr>
          <w:p w14:paraId="4ABFE6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关键提示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词</w:t>
            </w:r>
          </w:p>
        </w:tc>
        <w:tc>
          <w:tcPr>
            <w:tcW w:w="1849" w:type="dxa"/>
            <w:vAlign w:val="center"/>
          </w:tcPr>
          <w:p w14:paraId="4B983A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AI回复的关键内容（在此简要说明，并在附录中给出佐证）</w:t>
            </w:r>
          </w:p>
        </w:tc>
        <w:tc>
          <w:tcPr>
            <w:tcW w:w="1895" w:type="dxa"/>
            <w:vAlign w:val="center"/>
          </w:tcPr>
          <w:p w14:paraId="0DB4FE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AI回复的</w:t>
            </w:r>
          </w:p>
          <w:p w14:paraId="56A636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人工修改说明</w:t>
            </w:r>
          </w:p>
        </w:tc>
        <w:tc>
          <w:tcPr>
            <w:tcW w:w="1646" w:type="dxa"/>
            <w:vAlign w:val="center"/>
          </w:tcPr>
          <w:p w14:paraId="387363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采纳比例</w:t>
            </w:r>
          </w:p>
          <w:p w14:paraId="2D4D11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与说明</w:t>
            </w:r>
          </w:p>
        </w:tc>
      </w:tr>
      <w:tr w14:paraId="20BCC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61E855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2106" w:type="dxa"/>
            <w:vAlign w:val="center"/>
          </w:tcPr>
          <w:p w14:paraId="5F7F28A1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sz w:val="20"/>
                <w:szCs w:val="20"/>
              </w:rPr>
              <w:t>deepseek-chat，网页端，2026年</w:t>
            </w:r>
            <w:r>
              <w:rPr>
                <w:rFonts w:hint="eastAsia"/>
                <w:sz w:val="20"/>
                <w:szCs w:val="20"/>
                <w:lang w:val="en-US" w:eastAsia="zh-CN"/>
              </w:rPr>
              <w:t>3</w:t>
            </w:r>
            <w:r>
              <w:rPr>
                <w:sz w:val="20"/>
                <w:szCs w:val="20"/>
              </w:rPr>
              <w:t>月</w:t>
            </w:r>
            <w:r>
              <w:rPr>
                <w:rFonts w:hint="eastAsia"/>
                <w:sz w:val="20"/>
                <w:szCs w:val="20"/>
                <w:lang w:val="en-US" w:eastAsia="zh-CN"/>
              </w:rPr>
              <w:t>9</w:t>
            </w:r>
            <w:r>
              <w:rPr>
                <w:sz w:val="20"/>
                <w:szCs w:val="20"/>
              </w:rPr>
              <w:t>日 14:30-15:00</w:t>
            </w:r>
          </w:p>
        </w:tc>
        <w:tc>
          <w:tcPr>
            <w:tcW w:w="2741" w:type="dxa"/>
            <w:vAlign w:val="center"/>
          </w:tcPr>
          <w:p w14:paraId="3026E24D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sz w:val="20"/>
                <w:szCs w:val="20"/>
              </w:rPr>
              <w:t>解决房树人拼图游戏自动跳转到网易云音乐的问题</w:t>
            </w:r>
          </w:p>
        </w:tc>
        <w:tc>
          <w:tcPr>
            <w:tcW w:w="2727" w:type="dxa"/>
            <w:vAlign w:val="center"/>
          </w:tcPr>
          <w:p w14:paraId="624AF8FC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sz w:val="20"/>
                <w:szCs w:val="20"/>
              </w:rPr>
              <w:t>我的房树人拼图游戏为什么会自动跳转到网易云音乐，在我关闭了edge某个禁止自动跳转的选项之后，关闭前就是偶尔打不开网易云那个小窗口，不过现在手机上倒是挺正常的，自由打开</w:t>
            </w:r>
          </w:p>
        </w:tc>
        <w:tc>
          <w:tcPr>
            <w:tcW w:w="1849" w:type="dxa"/>
            <w:vAlign w:val="center"/>
          </w:tcPr>
          <w:p w14:paraId="6471B13C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sz w:val="20"/>
                <w:szCs w:val="20"/>
              </w:rPr>
              <w:t>AI分析了iframe加载网易云官网时的重定向问题，提供了三种解决方案：使用外链播放器、移除iframe、添加sandbox属性限制</w:t>
            </w:r>
          </w:p>
        </w:tc>
        <w:tc>
          <w:tcPr>
            <w:tcW w:w="1895" w:type="dxa"/>
            <w:vAlign w:val="center"/>
          </w:tcPr>
          <w:p w14:paraId="69E4483F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sz w:val="20"/>
                <w:szCs w:val="20"/>
              </w:rPr>
              <w:t>采纳了方案二（移除网易云iframe），因为本地播放器功能已完整</w:t>
            </w:r>
          </w:p>
        </w:tc>
        <w:tc>
          <w:tcPr>
            <w:tcW w:w="1646" w:type="dxa"/>
            <w:vAlign w:val="center"/>
          </w:tcPr>
          <w:p w14:paraId="0E8A5B1D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sz w:val="20"/>
                <w:szCs w:val="20"/>
              </w:rPr>
              <w:t>AI生成内容为问题诊断和解决方案建议，非代码生成，采纳率100%</w:t>
            </w:r>
          </w:p>
        </w:tc>
      </w:tr>
      <w:tr w14:paraId="31D7C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3B9EFE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2106" w:type="dxa"/>
            <w:vAlign w:val="center"/>
          </w:tcPr>
          <w:p w14:paraId="594148EF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sz w:val="20"/>
                <w:szCs w:val="20"/>
              </w:rPr>
              <w:t>deepseek-chat，网页端，2026年3月8日 10:15-10:45</w:t>
            </w:r>
          </w:p>
        </w:tc>
        <w:tc>
          <w:tcPr>
            <w:tcW w:w="2741" w:type="dxa"/>
            <w:vAlign w:val="center"/>
          </w:tcPr>
          <w:p w14:paraId="781C6239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sz w:val="20"/>
                <w:szCs w:val="20"/>
              </w:rPr>
              <w:t>将Flask后端改为Node.js实现，用于在Vercel上部署AI心理报告生成功能</w:t>
            </w:r>
          </w:p>
        </w:tc>
        <w:tc>
          <w:tcPr>
            <w:tcW w:w="2727" w:type="dxa"/>
            <w:vAlign w:val="center"/>
          </w:tcPr>
          <w:p w14:paraId="5A1A6C7B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sz w:val="20"/>
                <w:szCs w:val="20"/>
              </w:rPr>
              <w:t>这个flask我搞不明白，在vercel上部署的时候老是失败，换nodejs把</w:t>
            </w:r>
          </w:p>
        </w:tc>
        <w:tc>
          <w:tcPr>
            <w:tcW w:w="1849" w:type="dxa"/>
            <w:vAlign w:val="center"/>
          </w:tcPr>
          <w:p w14:paraId="0911AFE8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sz w:val="20"/>
                <w:szCs w:val="20"/>
              </w:rPr>
              <w:t>AI提供了完整的Node.js后端实现方案，包括项目结构、API函数代码、环境变量配置、前端调用代码等</w:t>
            </w:r>
          </w:p>
        </w:tc>
        <w:tc>
          <w:tcPr>
            <w:tcW w:w="1895" w:type="dxa"/>
            <w:vAlign w:val="center"/>
          </w:tcPr>
          <w:p w14:paraId="67E6B3AD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sz w:val="20"/>
                <w:szCs w:val="20"/>
              </w:rPr>
              <w:t>根据项目实际情况调整了API路径、环境变量配置，优化了错误处理逻辑</w:t>
            </w:r>
          </w:p>
        </w:tc>
        <w:tc>
          <w:tcPr>
            <w:tcW w:w="1646" w:type="dxa"/>
            <w:vAlign w:val="center"/>
          </w:tcPr>
          <w:p w14:paraId="3320A899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sz w:val="20"/>
                <w:szCs w:val="20"/>
              </w:rPr>
              <w:t>AI生成代码占后端总代码量的70%，经人工重构和调试后采纳率85%</w:t>
            </w:r>
            <w:r>
              <w:rPr>
                <w:rFonts w:hint="eastAsia"/>
                <w:sz w:val="20"/>
                <w:szCs w:val="20"/>
                <w:lang w:val="en-US" w:eastAsia="zh-CN"/>
              </w:rPr>
              <w:t>,但vercel部署项目方案最终弃用</w:t>
            </w:r>
          </w:p>
        </w:tc>
      </w:tr>
      <w:tr w14:paraId="06A97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229E2D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2106" w:type="dxa"/>
            <w:vAlign w:val="center"/>
          </w:tcPr>
          <w:p w14:paraId="6BAD066A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sz w:val="20"/>
                <w:szCs w:val="20"/>
              </w:rPr>
              <w:t>deepseek-chat，网页端，2026年4月10日 16:50-17:15</w:t>
            </w:r>
          </w:p>
        </w:tc>
        <w:tc>
          <w:tcPr>
            <w:tcW w:w="2741" w:type="dxa"/>
            <w:vAlign w:val="center"/>
          </w:tcPr>
          <w:p w14:paraId="4876508B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sz w:val="20"/>
                <w:szCs w:val="20"/>
              </w:rPr>
              <w:t>为心理疗愈和心理报告分析功能选择合适的免费大模型API</w:t>
            </w:r>
          </w:p>
        </w:tc>
        <w:tc>
          <w:tcPr>
            <w:tcW w:w="2727" w:type="dxa"/>
            <w:vAlign w:val="center"/>
          </w:tcPr>
          <w:p w14:paraId="62C5FA5E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sz w:val="20"/>
                <w:szCs w:val="20"/>
              </w:rPr>
              <w:t>deepseek免费api接口推荐</w:t>
            </w:r>
          </w:p>
        </w:tc>
        <w:tc>
          <w:tcPr>
            <w:tcW w:w="1849" w:type="dxa"/>
            <w:vAlign w:val="center"/>
          </w:tcPr>
          <w:p w14:paraId="1AEF4A2E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sz w:val="20"/>
                <w:szCs w:val="20"/>
              </w:rPr>
              <w:t>AI提供了详细的免费API对比表格，包括DeepSeek官方、NVIDIA NIM、阿里云百炼、百度千帆等平台的额度、限制和推荐度</w:t>
            </w:r>
          </w:p>
        </w:tc>
        <w:tc>
          <w:tcPr>
            <w:tcW w:w="1895" w:type="dxa"/>
            <w:vAlign w:val="center"/>
          </w:tcPr>
          <w:p w14:paraId="2B92B216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sz w:val="20"/>
                <w:szCs w:val="20"/>
              </w:rPr>
              <w:t>根据项目需求选择了DeepSeek官方API作为主要方案，NVIDIA NIM作为备选</w:t>
            </w:r>
          </w:p>
        </w:tc>
        <w:tc>
          <w:tcPr>
            <w:tcW w:w="1646" w:type="dxa"/>
            <w:vAlign w:val="center"/>
          </w:tcPr>
          <w:p w14:paraId="7CE06917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sz w:val="20"/>
                <w:szCs w:val="20"/>
              </w:rPr>
              <w:t>AI生成内容为技术调研和方案对比，非代码生成，采纳率100%</w:t>
            </w:r>
          </w:p>
        </w:tc>
      </w:tr>
    </w:tbl>
    <w:p w14:paraId="4BD11D8D">
      <w:pPr>
        <w:rPr>
          <w:rFonts w:hint="eastAsia" w:ascii="Arial" w:hAnsi="Arial" w:eastAsia="宋体" w:cs="Arial"/>
          <w:color w:val="333333"/>
          <w:kern w:val="0"/>
          <w:szCs w:val="21"/>
        </w:rPr>
      </w:pPr>
    </w:p>
    <w:p w14:paraId="3A70F04C">
      <w:pPr>
        <w:rPr>
          <w:rFonts w:hint="eastAsia" w:ascii="Arial" w:hAnsi="Arial" w:eastAsia="宋体" w:cs="Arial"/>
          <w:color w:val="333333"/>
          <w:kern w:val="0"/>
          <w:szCs w:val="21"/>
        </w:rPr>
      </w:pPr>
      <w:r>
        <w:rPr>
          <w:rFonts w:hint="eastAsia" w:ascii="Arial" w:hAnsi="Arial" w:eastAsia="宋体" w:cs="Arial"/>
          <w:color w:val="333333"/>
          <w:kern w:val="0"/>
          <w:szCs w:val="21"/>
        </w:rPr>
        <mc:AlternateContent>
          <mc:Choice Requires="wps">
            <w:drawing>
              <wp:inline distT="0" distB="0" distL="114300" distR="114300">
                <wp:extent cx="8491855" cy="2081530"/>
                <wp:effectExtent l="4445" t="4445" r="9525" b="9525"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1855" cy="20815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E368A3">
                            <w:pPr>
                              <w:rPr>
                                <w:rFonts w:ascii="黑体" w:hAnsi="黑体" w:eastAsia="黑体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28"/>
                                <w:szCs w:val="28"/>
                              </w:rPr>
                              <w:t>填写说明：</w:t>
                            </w:r>
                          </w:p>
                          <w:p w14:paraId="32EE442D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ind w:left="227" w:leftChars="0" w:hanging="227"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本文档适用于所有涉及AI工具使用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的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参赛作品，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color w:val="FF0000"/>
                                <w:lang w:val="en-US" w:eastAsia="zh-CN"/>
                              </w:rPr>
                              <w:t>表格可另加行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。</w:t>
                            </w:r>
                          </w:p>
                          <w:p w14:paraId="2731A4B6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ind w:left="227" w:leftChars="0" w:hanging="227"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参赛作品的作者，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需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根据实际的使用情况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简明扼要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地列出本作品所使用的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b/>
                                <w:bCs/>
                                <w:lang w:val="en-US" w:eastAsia="zh-CN"/>
                              </w:rPr>
                              <w:t>全部AI工具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b w:val="0"/>
                                <w:bCs w:val="0"/>
                                <w:lang w:val="en-US" w:eastAsia="zh-CN"/>
                              </w:rPr>
                              <w:t>的名称、版本、访问方式、使用时间、使用环节与目的、关键提示词、AI回复的关键内容、采纳和人工修改情况等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。</w:t>
                            </w:r>
                          </w:p>
                          <w:p w14:paraId="64661515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ind w:left="227" w:leftChars="0" w:hanging="227"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AI回复的关键内容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b/>
                                <w:bCs/>
                                <w:lang w:val="en-US" w:eastAsia="zh-CN"/>
                              </w:rPr>
                              <w:t>佐证材料，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需作为本文档的附录2给出，包括但不限于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：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）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关键操作截图（含时间戳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需清晰可辨）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；（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）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交互录屏视频（时长≤5分钟，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需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标注使用节点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文档为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MP4格式，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b/>
                                <w:bCs/>
                              </w:rPr>
                              <w:t>命名格式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：AI_使用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序号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_作品编号.mp4）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；（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）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代码注释中标明AI辅助部分（如：// AI辅助生成：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auto"/>
                                <w:lang w:val="en-US" w:eastAsia="zh-CN"/>
                              </w:rPr>
                              <w:t>DeepSeek-R1-0528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, 2025-11-03）</w:t>
                            </w:r>
                          </w:p>
                          <w:p w14:paraId="75436B9A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ind w:left="227" w:leftChars="0" w:hanging="227"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提交时，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需将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的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PDF格式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文件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以及其他佐证材料（如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交互录屏视频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），一并</w:t>
                            </w:r>
                            <w:r>
                              <w:rPr>
                                <w:rFonts w:hint="eastAsia" w:ascii="楷体" w:hAnsi="楷体" w:eastAsia="楷体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上传到作品文件夹的“</w:t>
                            </w:r>
                            <w:r>
                              <w:rPr>
                                <w:rFonts w:ascii="楷体" w:hAnsi="楷体" w:eastAsia="楷体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03</w:t>
                            </w:r>
                            <w:r>
                              <w:rPr>
                                <w:rFonts w:hint="eastAsia" w:ascii="楷体" w:hAnsi="楷体" w:eastAsia="楷体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设计与开发文档”子文件夹中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。</w:t>
                            </w:r>
                          </w:p>
                          <w:p w14:paraId="77784039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ind w:left="227" w:leftChars="0" w:hanging="227"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本文档内容是正式参赛内容组成部分，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需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color w:val="FF0000"/>
                              </w:rPr>
                              <w:t>真实填写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。</w:t>
                            </w:r>
                            <w:r>
                              <w:rPr>
                                <w:rFonts w:hint="eastAsia" w:ascii="黑体" w:hAnsi="黑体" w:eastAsia="黑体" w:cs="黑体"/>
                              </w:rPr>
                              <w:t>如不属实，将导致奖项等级降低甚至终止本作品参加比赛。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63.9pt;width:668.65pt;" fillcolor="#FFFFFF [3201]" filled="t" stroked="t" coordsize="21600,21600" o:gfxdata="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xlP3H0wAA&#10;AAYBAAAPAAAAAAAAAAEAIAAAACIAAABkcnMvZG93bnJldi54bWxQSwECFAAUAAAACACHTuJASlb7&#10;j1wCAAC4BAAADgAAAAAAAAABACAAAAAiAQAAZHJzL2Uyb0RvYy54bWxQSwUGAAAAAAYABgBZAQAA&#10;8A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1CE368A3">
                      <w:pPr>
                        <w:rPr>
                          <w:rFonts w:ascii="黑体" w:hAnsi="黑体" w:eastAsia="黑体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黑体" w:hAnsi="黑体" w:eastAsia="黑体"/>
                          <w:sz w:val="28"/>
                          <w:szCs w:val="28"/>
                        </w:rPr>
                        <w:t>填写说明：</w:t>
                      </w:r>
                    </w:p>
                    <w:p w14:paraId="32EE442D">
                      <w:pPr>
                        <w:pStyle w:val="8"/>
                        <w:numPr>
                          <w:ilvl w:val="0"/>
                          <w:numId w:val="1"/>
                        </w:numPr>
                        <w:ind w:left="227" w:leftChars="0" w:hanging="227"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本文档适用于所有涉及AI工具使用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的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参赛作品，</w:t>
                      </w:r>
                      <w:r>
                        <w:rPr>
                          <w:rFonts w:hint="eastAsia" w:ascii="华文楷体" w:hAnsi="华文楷体" w:eastAsia="华文楷体"/>
                          <w:color w:val="FF0000"/>
                          <w:lang w:val="en-US" w:eastAsia="zh-CN"/>
                        </w:rPr>
                        <w:t>表格可另加行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。</w:t>
                      </w:r>
                    </w:p>
                    <w:p w14:paraId="2731A4B6">
                      <w:pPr>
                        <w:pStyle w:val="8"/>
                        <w:numPr>
                          <w:ilvl w:val="0"/>
                          <w:numId w:val="1"/>
                        </w:numPr>
                        <w:ind w:left="227" w:leftChars="0" w:hanging="227"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参赛作品的作者，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需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根据实际的使用情况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简明扼要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地列出本作品所使用的</w:t>
                      </w:r>
                      <w:r>
                        <w:rPr>
                          <w:rFonts w:hint="eastAsia" w:ascii="华文楷体" w:hAnsi="华文楷体" w:eastAsia="华文楷体"/>
                          <w:b/>
                          <w:bCs/>
                          <w:lang w:val="en-US" w:eastAsia="zh-CN"/>
                        </w:rPr>
                        <w:t>全部AI工具</w:t>
                      </w:r>
                      <w:r>
                        <w:rPr>
                          <w:rFonts w:hint="eastAsia" w:ascii="华文楷体" w:hAnsi="华文楷体" w:eastAsia="华文楷体"/>
                          <w:b w:val="0"/>
                          <w:bCs w:val="0"/>
                          <w:lang w:val="en-US" w:eastAsia="zh-CN"/>
                        </w:rPr>
                        <w:t>的名称、版本、访问方式、使用时间、使用环节与目的、关键提示词、AI回复的关键内容、采纳和人工修改情况等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。</w:t>
                      </w:r>
                    </w:p>
                    <w:p w14:paraId="64661515">
                      <w:pPr>
                        <w:pStyle w:val="8"/>
                        <w:numPr>
                          <w:ilvl w:val="0"/>
                          <w:numId w:val="1"/>
                        </w:numPr>
                        <w:ind w:left="227" w:leftChars="0" w:hanging="227"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AI回复的关键内容</w:t>
                      </w:r>
                      <w:r>
                        <w:rPr>
                          <w:rFonts w:hint="eastAsia" w:ascii="华文楷体" w:hAnsi="华文楷体" w:eastAsia="华文楷体"/>
                          <w:b/>
                          <w:bCs/>
                          <w:lang w:val="en-US" w:eastAsia="zh-CN"/>
                        </w:rPr>
                        <w:t>佐证材料，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需作为本文档的附录2给出，包括但不限于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：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（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1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）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关键操作截图（含时间戳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需清晰可辨）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；（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）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交互录屏视频（时长≤5分钟，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需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标注使用节点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文档为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MP4格式，</w:t>
                      </w:r>
                      <w:r>
                        <w:rPr>
                          <w:rFonts w:hint="eastAsia" w:ascii="华文楷体" w:hAnsi="华文楷体" w:eastAsia="华文楷体"/>
                          <w:b/>
                          <w:bCs/>
                        </w:rPr>
                        <w:t>命名格式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：AI_使用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序号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_作品编号.mp4）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；（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3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）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代码注释中标明AI辅助部分（如：// AI辅助生成：</w:t>
                      </w:r>
                      <w:r>
                        <w:rPr>
                          <w:rFonts w:hint="eastAsia" w:ascii="宋体" w:hAnsi="宋体" w:eastAsia="宋体" w:cs="宋体"/>
                          <w:color w:val="auto"/>
                          <w:lang w:val="en-US" w:eastAsia="zh-CN"/>
                        </w:rPr>
                        <w:t>DeepSeek-R1-0528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, 2025-11-03）</w:t>
                      </w:r>
                    </w:p>
                    <w:p w14:paraId="75436B9A">
                      <w:pPr>
                        <w:pStyle w:val="8"/>
                        <w:numPr>
                          <w:ilvl w:val="0"/>
                          <w:numId w:val="1"/>
                        </w:numPr>
                        <w:ind w:left="227" w:leftChars="0" w:hanging="227"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提交时，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需将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本文档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的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PDF格式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文件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以及其他佐证材料（如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交互录屏视频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），一并</w:t>
                      </w:r>
                      <w:r>
                        <w:rPr>
                          <w:rFonts w:hint="eastAsia" w:ascii="楷体" w:hAnsi="楷体" w:eastAsia="楷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上传到作品文件夹的“</w:t>
                      </w:r>
                      <w:r>
                        <w:rPr>
                          <w:rFonts w:ascii="楷体" w:hAnsi="楷体" w:eastAsia="楷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03</w:t>
                      </w:r>
                      <w:r>
                        <w:rPr>
                          <w:rFonts w:hint="eastAsia" w:ascii="楷体" w:hAnsi="楷体" w:eastAsia="楷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设计与开发文档”子文件夹中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。</w:t>
                      </w:r>
                    </w:p>
                    <w:p w14:paraId="77784039">
                      <w:pPr>
                        <w:pStyle w:val="8"/>
                        <w:numPr>
                          <w:ilvl w:val="0"/>
                          <w:numId w:val="1"/>
                        </w:numPr>
                        <w:ind w:left="227" w:leftChars="0" w:hanging="227"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本文档内容是正式参赛内容组成部分，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需</w:t>
                      </w:r>
                      <w:r>
                        <w:rPr>
                          <w:rFonts w:hint="eastAsia" w:ascii="华文楷体" w:hAnsi="华文楷体" w:eastAsia="华文楷体"/>
                          <w:color w:val="FF0000"/>
                        </w:rPr>
                        <w:t>真实填写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。</w:t>
                      </w:r>
                      <w:r>
                        <w:rPr>
                          <w:rFonts w:hint="eastAsia" w:ascii="黑体" w:hAnsi="黑体" w:eastAsia="黑体" w:cs="黑体"/>
                        </w:rPr>
                        <w:t>如不属实，将导致奖项等级降低甚至终止本作品参加比赛。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203A3A6">
      <w:pPr>
        <w:rPr>
          <w:rFonts w:hint="eastAsia" w:ascii="楷体" w:hAnsi="楷体" w:eastAsia="楷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A9CDA2">
      <w:pPr>
        <w:rPr>
          <w:rFonts w:hint="eastAsia" w:ascii="微软雅黑" w:hAnsi="微软雅黑" w:eastAsia="微软雅黑" w:cs="微软雅黑"/>
          <w:color w:val="333333"/>
          <w:kern w:val="0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333333"/>
          <w:kern w:val="0"/>
          <w:szCs w:val="21"/>
          <w:lang w:val="en-US" w:eastAsia="zh-CN"/>
        </w:rPr>
        <w:t>附录1：作品文件夹示例</w:t>
      </w:r>
    </w:p>
    <w:p w14:paraId="0D42676B">
      <w:pPr>
        <w:ind w:firstLine="210" w:firstLineChars="100"/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202</w:t>
      </w:r>
      <w:r>
        <w:rPr>
          <w:rFonts w:hint="eastAsia" w:ascii="楷体" w:hAnsi="楷体" w:eastAsia="楷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012345-参赛总文件夹</w:t>
      </w:r>
    </w:p>
    <w:p w14:paraId="478623C0">
      <w:pPr>
        <w:ind w:left="210" w:leftChars="100"/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├──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202</w:t>
      </w:r>
      <w:r>
        <w:rPr>
          <w:rFonts w:hint="eastAsia" w:ascii="楷体" w:hAnsi="楷体" w:eastAsia="楷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012345-01作品与答辩材料</w:t>
      </w:r>
    </w:p>
    <w:p w14:paraId="001664B8">
      <w:pPr>
        <w:ind w:left="210" w:leftChars="100"/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├──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202</w:t>
      </w:r>
      <w:r>
        <w:rPr>
          <w:rFonts w:hint="eastAsia" w:ascii="楷体" w:hAnsi="楷体" w:eastAsia="楷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012345-02素材与源码</w:t>
      </w:r>
    </w:p>
    <w:p w14:paraId="7622881C">
      <w:pPr>
        <w:ind w:left="210" w:leftChars="100"/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├──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202</w:t>
      </w:r>
      <w:r>
        <w:rPr>
          <w:rFonts w:hint="eastAsia" w:ascii="楷体" w:hAnsi="楷体" w:eastAsia="楷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012345-03设计与开发文档</w:t>
      </w:r>
    </w:p>
    <w:p w14:paraId="25CC8CE4">
      <w:pPr>
        <w:ind w:left="210" w:leftChars="100"/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└──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202</w:t>
      </w:r>
      <w:r>
        <w:rPr>
          <w:rFonts w:hint="eastAsia" w:ascii="楷体" w:hAnsi="楷体" w:eastAsia="楷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012345-04作品演示视频</w:t>
      </w:r>
    </w:p>
    <w:p w14:paraId="6F86B644">
      <w:pPr>
        <w:rPr>
          <w:rFonts w:hint="eastAsia" w:ascii="Arial" w:hAnsi="Arial" w:eastAsia="宋体" w:cs="Arial"/>
          <w:b/>
          <w:bCs/>
          <w:color w:val="333333"/>
          <w:kern w:val="0"/>
          <w:szCs w:val="21"/>
        </w:rPr>
      </w:pPr>
    </w:p>
    <w:p w14:paraId="58C2B434">
      <w:pPr>
        <w:rPr>
          <w:rFonts w:hint="eastAsia" w:ascii="微软雅黑" w:hAnsi="微软雅黑" w:eastAsia="微软雅黑" w:cs="微软雅黑"/>
          <w:color w:val="333333"/>
          <w:kern w:val="0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333333"/>
          <w:kern w:val="0"/>
          <w:szCs w:val="21"/>
          <w:lang w:val="en-US" w:eastAsia="zh-CN"/>
        </w:rPr>
        <w:t>附录2：</w:t>
      </w:r>
    </w:p>
    <w:p w14:paraId="2440FAA4">
      <w:pPr>
        <w:spacing w:after="120"/>
      </w:pPr>
      <w:r>
        <w:rPr>
          <w:b/>
          <w:bCs/>
          <w:sz w:val="22"/>
          <w:szCs w:val="22"/>
        </w:rPr>
        <w:t>序号1的佐证材料：</w:t>
      </w:r>
    </w:p>
    <w:p w14:paraId="47AB6FC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908300" cy="6264910"/>
            <wp:effectExtent l="0" t="0" r="6350" b="254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08300" cy="6264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2E502A">
      <w:pPr>
        <w:spacing w:after="120"/>
      </w:pPr>
      <w:r>
        <w:rPr>
          <w:b/>
          <w:bCs/>
          <w:sz w:val="22"/>
          <w:szCs w:val="22"/>
        </w:rPr>
        <w:t>序号2的佐证材料：</w:t>
      </w:r>
    </w:p>
    <w:p w14:paraId="6BB7C4C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739765" cy="44007405"/>
            <wp:effectExtent l="0" t="0" r="13335" b="1714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9765" cy="440074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F253D41">
      <w:pPr>
        <w:spacing w:after="120"/>
      </w:pPr>
      <w:r>
        <w:rPr>
          <w:b/>
          <w:bCs/>
          <w:sz w:val="22"/>
          <w:szCs w:val="22"/>
        </w:rPr>
        <w:t>序号3的佐证材料：</w:t>
      </w:r>
    </w:p>
    <w:p w14:paraId="000F314A">
      <w:pPr>
        <w:keepNext w:val="0"/>
        <w:keepLines w:val="0"/>
        <w:widowControl/>
        <w:suppressLineNumbers w:val="0"/>
        <w:jc w:val="left"/>
      </w:pPr>
    </w:p>
    <w:p w14:paraId="139C9C2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856990" cy="10088245"/>
            <wp:effectExtent l="0" t="0" r="10160" b="825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6990" cy="100882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200883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6E8362"/>
    <w:multiLevelType w:val="singleLevel"/>
    <w:tmpl w:val="216E8362"/>
    <w:lvl w:ilvl="0" w:tentative="0">
      <w:start w:val="1"/>
      <w:numFmt w:val="decimal"/>
      <w:suff w:val="space"/>
      <w:lvlText w:val="%1."/>
      <w:lvlJc w:val="left"/>
      <w:pPr>
        <w:ind w:left="227" w:leftChars="0" w:hanging="227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B29"/>
    <w:rsid w:val="005B644F"/>
    <w:rsid w:val="006175A4"/>
    <w:rsid w:val="00A14B29"/>
    <w:rsid w:val="05067EF7"/>
    <w:rsid w:val="06411DC2"/>
    <w:rsid w:val="07181F63"/>
    <w:rsid w:val="084D5E41"/>
    <w:rsid w:val="0D5A0767"/>
    <w:rsid w:val="0DE46363"/>
    <w:rsid w:val="0E6D6359"/>
    <w:rsid w:val="10744EF1"/>
    <w:rsid w:val="10D71E9B"/>
    <w:rsid w:val="11B64CD1"/>
    <w:rsid w:val="12A14823"/>
    <w:rsid w:val="130D3C66"/>
    <w:rsid w:val="139D148E"/>
    <w:rsid w:val="16E55626"/>
    <w:rsid w:val="16F05D79"/>
    <w:rsid w:val="1D497F91"/>
    <w:rsid w:val="1D7274E7"/>
    <w:rsid w:val="1EFC3B58"/>
    <w:rsid w:val="2074045F"/>
    <w:rsid w:val="20F91DC3"/>
    <w:rsid w:val="216D06F2"/>
    <w:rsid w:val="233C2EB8"/>
    <w:rsid w:val="26AC3A6A"/>
    <w:rsid w:val="27415819"/>
    <w:rsid w:val="2877577E"/>
    <w:rsid w:val="28E8751C"/>
    <w:rsid w:val="2C4468C8"/>
    <w:rsid w:val="2CD07E96"/>
    <w:rsid w:val="2D4B6E23"/>
    <w:rsid w:val="30795A76"/>
    <w:rsid w:val="32BB5035"/>
    <w:rsid w:val="330B7D6A"/>
    <w:rsid w:val="348D3D41"/>
    <w:rsid w:val="35B846C5"/>
    <w:rsid w:val="378B00EE"/>
    <w:rsid w:val="39EF1615"/>
    <w:rsid w:val="3B8400E3"/>
    <w:rsid w:val="3C3C0F95"/>
    <w:rsid w:val="3E2F4C4C"/>
    <w:rsid w:val="3E482FBD"/>
    <w:rsid w:val="3E7569E0"/>
    <w:rsid w:val="3E8E35FE"/>
    <w:rsid w:val="426A6EBD"/>
    <w:rsid w:val="43BB33D0"/>
    <w:rsid w:val="43FB7987"/>
    <w:rsid w:val="4404683C"/>
    <w:rsid w:val="4424588A"/>
    <w:rsid w:val="446D5E07"/>
    <w:rsid w:val="44793B24"/>
    <w:rsid w:val="4A534079"/>
    <w:rsid w:val="4EC51EC0"/>
    <w:rsid w:val="546B0211"/>
    <w:rsid w:val="5A1D4843"/>
    <w:rsid w:val="5B280B1F"/>
    <w:rsid w:val="613F280A"/>
    <w:rsid w:val="61932B55"/>
    <w:rsid w:val="64FD6C64"/>
    <w:rsid w:val="663B3437"/>
    <w:rsid w:val="68B23B16"/>
    <w:rsid w:val="6D13119B"/>
    <w:rsid w:val="6D164870"/>
    <w:rsid w:val="6F2C22DC"/>
    <w:rsid w:val="6F485C50"/>
    <w:rsid w:val="710870BC"/>
    <w:rsid w:val="7134589A"/>
    <w:rsid w:val="733028FA"/>
    <w:rsid w:val="73532145"/>
    <w:rsid w:val="75B10E02"/>
    <w:rsid w:val="76C1721E"/>
    <w:rsid w:val="78E0091E"/>
    <w:rsid w:val="79ED50A1"/>
    <w:rsid w:val="7A7D5EE5"/>
    <w:rsid w:val="7BDA78A7"/>
    <w:rsid w:val="7CDE6F23"/>
    <w:rsid w:val="7F3A357F"/>
    <w:rsid w:val="7F43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3"/>
    <w:qFormat/>
    <w:uiPriority w:val="9"/>
    <w:pPr>
      <w:keepNext/>
      <w:keepLines/>
      <w:spacing w:before="60" w:after="60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ind w:firstLine="420"/>
    </w:pPr>
  </w:style>
  <w:style w:type="table" w:styleId="6">
    <w:name w:val="Table Grid"/>
    <w:basedOn w:val="5"/>
    <w:qFormat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472</Words>
  <Characters>588</Characters>
  <Lines>4</Lines>
  <Paragraphs>15</Paragraphs>
  <TotalTime>1</TotalTime>
  <ScaleCrop>false</ScaleCrop>
  <LinksUpToDate>false</LinksUpToDate>
  <CharactersWithSpaces>637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2026-03-10T03:30:00Z</dcterms:created>
  <dc:creator>Administrator</dc:creator>
  <cp:lastModifiedBy>曾大帅</cp:lastModifiedBy>
  <dcterms:modified xsi:type="dcterms:W3CDTF">2026-05-05T15:32:16Z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eyJoZGlkIjoiYWUwNTgxY2U4NjQ5MDQ1NWExNDM3OTM2ODBlNjNlZTciLCJ1c2VySWQiOiI4MTY3NTIzNDYifQ==</vt:lpwstr>
  </property>
  <property fmtid="{D5CDD505-2E9C-101B-9397-08002B2CF9AE}" pid="3" name="KSOProductBuildVer">
    <vt:lpwstr>2052-12.1.0.25865</vt:lpwstr>
  </property>
  <property fmtid="{D5CDD505-2E9C-101B-9397-08002B2CF9AE}" pid="4" name="ICV">
    <vt:lpwstr>88DF7A46B2AD44F19DA67CF870975F2E_12</vt:lpwstr>
  </property>
</Properties>
</file>