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CB31E">
      <w:pPr>
        <w:pStyle w:val="4"/>
        <w:snapToGrid w:val="0"/>
        <w:spacing w:before="0" w:beforeAutospacing="0" w:after="0" w:afterAutospacing="0" w:line="360" w:lineRule="auto"/>
        <w:jc w:val="both"/>
        <w:rPr>
          <w:rFonts w:hint="eastAsia" w:asciiTheme="minorHAnsi" w:hAnsiTheme="minorHAnsi" w:eastAsiaTheme="minorEastAsia" w:cstheme="minorBidi"/>
          <w:b/>
          <w:bCs/>
          <w:kern w:val="2"/>
          <w:sz w:val="28"/>
          <w:szCs w:val="28"/>
        </w:rPr>
      </w:pPr>
      <w:r>
        <w:rPr>
          <w:rFonts w:asciiTheme="minorHAnsi" w:hAnsiTheme="minorHAnsi" w:eastAsiaTheme="minorEastAsia" w:cstheme="minorBidi"/>
          <w:b/>
          <w:bCs/>
          <w:kern w:val="2"/>
          <w:sz w:val="28"/>
          <w:szCs w:val="28"/>
        </w:rPr>
        <mc:AlternateContent>
          <mc:Choice Requires="wpg">
            <w:drawing>
              <wp:anchor distT="0" distB="0" distL="114300" distR="114300" simplePos="0" relativeHeight="251659264" behindDoc="0" locked="0" layoutInCell="1" allowOverlap="1">
                <wp:simplePos x="0" y="0"/>
                <wp:positionH relativeFrom="column">
                  <wp:posOffset>3822700</wp:posOffset>
                </wp:positionH>
                <wp:positionV relativeFrom="paragraph">
                  <wp:posOffset>-133350</wp:posOffset>
                </wp:positionV>
                <wp:extent cx="1369695" cy="438150"/>
                <wp:effectExtent l="0" t="0" r="20955" b="19050"/>
                <wp:wrapNone/>
                <wp:docPr id="1174075802" name="组合 1"/>
                <wp:cNvGraphicFramePr/>
                <a:graphic xmlns:a="http://schemas.openxmlformats.org/drawingml/2006/main">
                  <a:graphicData uri="http://schemas.microsoft.com/office/word/2010/wordprocessingGroup">
                    <wpg:wgp>
                      <wpg:cNvGrpSpPr/>
                      <wpg:grpSpPr>
                        <a:xfrm>
                          <a:off x="0" y="0"/>
                          <a:ext cx="1369695" cy="438150"/>
                          <a:chOff x="19418" y="1540"/>
                          <a:chExt cx="2046" cy="794"/>
                        </a:xfrm>
                      </wpg:grpSpPr>
                      <wps:wsp>
                        <wps:cNvPr id="1316044244" name="文本框 1"/>
                        <wps:cNvSpPr txBox="1">
                          <a:spLocks noChangeArrowheads="1"/>
                        </wps:cNvSpPr>
                        <wps:spPr bwMode="auto">
                          <a:xfrm>
                            <a:off x="19418" y="1540"/>
                            <a:ext cx="1019" cy="794"/>
                          </a:xfrm>
                          <a:prstGeom prst="rect">
                            <a:avLst/>
                          </a:prstGeom>
                          <a:solidFill>
                            <a:srgbClr val="FFFFFF"/>
                          </a:solidFill>
                          <a:ln w="9525">
                            <a:solidFill>
                              <a:srgbClr val="000000"/>
                            </a:solidFill>
                            <a:miter lim="800000"/>
                          </a:ln>
                          <a:effectLst/>
                        </wps:spPr>
                        <wps:txbx>
                          <w:txbxContent>
                            <w:p w14:paraId="65D29C88">
                              <w:pPr>
                                <w:jc w:val="center"/>
                                <w:rPr>
                                  <w:rFonts w:hint="eastAsia" w:ascii="宋体" w:hAnsi="宋体" w:eastAsia="宋体" w:cs="Arial"/>
                                  <w:bCs/>
                                  <w:color w:val="000000"/>
                                  <w:kern w:val="0"/>
                                  <w:sz w:val="24"/>
                                  <w:szCs w:val="24"/>
                                </w:rPr>
                              </w:pPr>
                              <w:r>
                                <w:rPr>
                                  <w:rFonts w:hint="eastAsia" w:ascii="宋体" w:hAnsi="宋体" w:eastAsia="宋体" w:cs="Arial"/>
                                  <w:bCs/>
                                  <w:color w:val="000000"/>
                                  <w:kern w:val="0"/>
                                  <w:sz w:val="24"/>
                                  <w:szCs w:val="24"/>
                                </w:rPr>
                                <w:t>评分</w:t>
                              </w:r>
                            </w:p>
                          </w:txbxContent>
                        </wps:txbx>
                        <wps:bodyPr rot="0" vert="horz" wrap="square" lIns="91440" tIns="45720" rIns="91440" bIns="45720" anchor="t" anchorCtr="0" upright="1">
                          <a:noAutofit/>
                        </wps:bodyPr>
                      </wps:wsp>
                      <wps:wsp>
                        <wps:cNvPr id="256826015" name="文本框 2"/>
                        <wps:cNvSpPr txBox="1">
                          <a:spLocks noChangeArrowheads="1"/>
                        </wps:cNvSpPr>
                        <wps:spPr bwMode="auto">
                          <a:xfrm>
                            <a:off x="20434" y="1540"/>
                            <a:ext cx="1030" cy="794"/>
                          </a:xfrm>
                          <a:prstGeom prst="rect">
                            <a:avLst/>
                          </a:prstGeom>
                          <a:solidFill>
                            <a:srgbClr val="FFFFFF"/>
                          </a:solidFill>
                          <a:ln w="9525">
                            <a:solidFill>
                              <a:srgbClr val="000000"/>
                            </a:solidFill>
                            <a:miter lim="800000"/>
                          </a:ln>
                          <a:effectLst/>
                        </wps:spPr>
                        <wps:txbx>
                          <w:txbxContent>
                            <w:p w14:paraId="3C41A1B8">
                              <w:pPr>
                                <w:rPr>
                                  <w:rFonts w:hint="eastAsia"/>
                                </w:rPr>
                              </w:pPr>
                            </w:p>
                          </w:txbxContent>
                        </wps:txbx>
                        <wps:bodyPr rot="0" vert="horz" wrap="square" lIns="91440" tIns="45720" rIns="91440" bIns="45720" anchor="t" anchorCtr="0" upright="1">
                          <a:noAutofit/>
                        </wps:bodyPr>
                      </wps:wsp>
                    </wpg:wgp>
                  </a:graphicData>
                </a:graphic>
              </wp:anchor>
            </w:drawing>
          </mc:Choice>
          <mc:Fallback>
            <w:pict>
              <v:group id="组合 1" o:spid="_x0000_s1026" o:spt="203" style="position:absolute;left:0pt;margin-left:301pt;margin-top:-10.5pt;height:34.5pt;width:107.85pt;z-index:251659264;mso-width-relative:page;mso-height-relative:page;" coordorigin="19418,1540" coordsize="2046,794" o:gfxdata="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">
                <o:lock v:ext="edit" aspectratio="f"/>
                <v:shape id="文本框 1" o:spid="_x0000_s1026" o:spt="202" type="#_x0000_t202" style="position:absolute;left:19418;top:1540;height:794;width:1019;" fillcolor="#FFFFFF" filled="t" stroked="t" coordsize="21600,21600" o:gfxdata="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ex6&#10;RMEAAADjAAAADwAAAAAAAAABACAAAAAiAAAAZHJzL2Rvd25yZXYueG1sUEsBAhQAFAAAAAgAh07i&#10;QDMvBZ47AAAAOQAAABAAAAAAAAAAAQAgAAAAEAEAAGRycy9zaGFwZXhtbC54bWxQSwUGAAAAAAYA&#10;BgBbAQAAugMAAAAA&#10;">
                  <v:fill on="t" focussize="0,0"/>
                  <v:stroke color="#000000" miterlimit="8" joinstyle="miter"/>
                  <v:imagedata o:title=""/>
                  <o:lock v:ext="edit" aspectratio="f"/>
                  <v:textbox>
                    <w:txbxContent>
                      <w:p w14:paraId="65D29C88">
                        <w:pPr>
                          <w:jc w:val="center"/>
                          <w:rPr>
                            <w:rFonts w:hint="eastAsia" w:ascii="宋体" w:hAnsi="宋体" w:eastAsia="宋体" w:cs="Arial"/>
                            <w:bCs/>
                            <w:color w:val="000000"/>
                            <w:kern w:val="0"/>
                            <w:sz w:val="24"/>
                            <w:szCs w:val="24"/>
                          </w:rPr>
                        </w:pPr>
                        <w:r>
                          <w:rPr>
                            <w:rFonts w:hint="eastAsia" w:ascii="宋体" w:hAnsi="宋体" w:eastAsia="宋体" w:cs="Arial"/>
                            <w:bCs/>
                            <w:color w:val="000000"/>
                            <w:kern w:val="0"/>
                            <w:sz w:val="24"/>
                            <w:szCs w:val="24"/>
                          </w:rPr>
                          <w:t>评分</w:t>
                        </w:r>
                      </w:p>
                    </w:txbxContent>
                  </v:textbox>
                </v:shape>
                <v:shape id="文本框 2" o:spid="_x0000_s1026" o:spt="202" type="#_x0000_t202" style="position:absolute;left:20434;top:1540;height:794;width:1030;" fillcolor="#FFFFFF" filled="t" stroked="t" coordsize="21600,21600" o:gfxdata="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9Duf8QAAADiAAAADwAAAAAAAAABACAAAAAiAAAAZHJzL2Rvd25yZXYueG1sUEsBAhQAFAAAAAgA&#10;h07iQDMvBZ47AAAAOQAAABAAAAAAAAAAAQAgAAAAEwEAAGRycy9zaGFwZXhtbC54bWxQSwUGAAAA&#10;AAYABgBbAQAAvQMAAAAA&#10;">
                  <v:fill on="t" focussize="0,0"/>
                  <v:stroke color="#000000" miterlimit="8" joinstyle="miter"/>
                  <v:imagedata o:title=""/>
                  <o:lock v:ext="edit" aspectratio="f"/>
                  <v:textbox>
                    <w:txbxContent>
                      <w:p w14:paraId="3C41A1B8">
                        <w:pPr>
                          <w:rPr>
                            <w:rFonts w:hint="eastAsia"/>
                          </w:rPr>
                        </w:pPr>
                      </w:p>
                    </w:txbxContent>
                  </v:textbox>
                </v:shape>
              </v:group>
            </w:pict>
          </mc:Fallback>
        </mc:AlternateContent>
      </w:r>
      <w:r>
        <w:rPr>
          <w:rFonts w:hint="eastAsia" w:cs="Arial"/>
          <w:bCs/>
          <w:color w:val="000000"/>
        </w:rPr>
        <w:t>《思想政治理论实践课》社会实践方案设计书</w:t>
      </w:r>
    </w:p>
    <w:p w14:paraId="11D065BC">
      <w:pPr>
        <w:spacing w:before="156" w:beforeLines="50" w:after="156" w:afterLines="50" w:line="440" w:lineRule="exact"/>
        <w:jc w:val="center"/>
        <w:rPr>
          <w:rFonts w:hint="eastAsia"/>
          <w:b/>
          <w:bCs/>
          <w:sz w:val="28"/>
          <w:szCs w:val="28"/>
        </w:rPr>
      </w:pPr>
      <w:r>
        <w:rPr>
          <w:rFonts w:hint="eastAsia"/>
          <w:b/>
          <w:bCs/>
          <w:sz w:val="28"/>
          <w:szCs w:val="28"/>
        </w:rPr>
        <w:t>202</w:t>
      </w:r>
      <w:r>
        <w:rPr>
          <w:rFonts w:hint="eastAsia"/>
          <w:b/>
          <w:bCs/>
          <w:sz w:val="28"/>
          <w:szCs w:val="28"/>
          <w:lang w:val="en-US" w:eastAsia="zh-CN"/>
        </w:rPr>
        <w:t>5</w:t>
      </w:r>
      <w:r>
        <w:rPr>
          <w:rFonts w:hint="eastAsia"/>
          <w:b/>
          <w:bCs/>
          <w:sz w:val="28"/>
          <w:szCs w:val="28"/>
        </w:rPr>
        <w:t>-202</w:t>
      </w:r>
      <w:r>
        <w:rPr>
          <w:rFonts w:hint="eastAsia"/>
          <w:b/>
          <w:bCs/>
          <w:sz w:val="28"/>
          <w:szCs w:val="28"/>
          <w:lang w:val="en-US" w:eastAsia="zh-CN"/>
        </w:rPr>
        <w:t>6</w:t>
      </w:r>
      <w:r>
        <w:rPr>
          <w:rFonts w:hint="eastAsia"/>
          <w:b/>
          <w:bCs/>
          <w:sz w:val="28"/>
          <w:szCs w:val="28"/>
        </w:rPr>
        <w:t>学年春季学期《思想政治理论实践课》</w:t>
      </w:r>
    </w:p>
    <w:p w14:paraId="02DB9CFD">
      <w:pPr>
        <w:spacing w:line="440" w:lineRule="exact"/>
        <w:jc w:val="center"/>
        <w:rPr>
          <w:rFonts w:hint="eastAsia"/>
          <w:b/>
          <w:bCs/>
          <w:sz w:val="28"/>
          <w:szCs w:val="28"/>
        </w:rPr>
      </w:pPr>
      <w:r>
        <w:rPr>
          <w:rFonts w:hint="eastAsia"/>
          <w:b/>
          <w:bCs/>
          <w:sz w:val="28"/>
          <w:szCs w:val="28"/>
        </w:rPr>
        <w:t>社会实践方案设计书</w:t>
      </w:r>
    </w:p>
    <w:tbl>
      <w:tblPr>
        <w:tblStyle w:val="6"/>
        <w:tblpPr w:leftFromText="180" w:rightFromText="180" w:vertAnchor="page" w:horzAnchor="margin" w:tblpX="-578" w:tblpY="3661"/>
        <w:tblW w:w="93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2"/>
        <w:gridCol w:w="1696"/>
        <w:gridCol w:w="856"/>
        <w:gridCol w:w="2546"/>
        <w:gridCol w:w="856"/>
        <w:gridCol w:w="2126"/>
      </w:tblGrid>
      <w:tr w14:paraId="2E7D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282" w:type="dxa"/>
            <w:vAlign w:val="center"/>
          </w:tcPr>
          <w:p w14:paraId="3E225886">
            <w:pPr>
              <w:jc w:val="center"/>
              <w:rPr>
                <w:rFonts w:hint="eastAsia" w:ascii="宋体" w:hAnsi="宋体" w:eastAsia="宋体"/>
                <w:sz w:val="24"/>
                <w:szCs w:val="24"/>
              </w:rPr>
            </w:pPr>
            <w:r>
              <w:rPr>
                <w:rFonts w:hint="eastAsia" w:ascii="宋体" w:hAnsi="宋体" w:eastAsia="宋体"/>
                <w:sz w:val="24"/>
                <w:szCs w:val="24"/>
              </w:rPr>
              <w:t>姓名</w:t>
            </w:r>
          </w:p>
        </w:tc>
        <w:tc>
          <w:tcPr>
            <w:tcW w:w="1696" w:type="dxa"/>
            <w:vAlign w:val="center"/>
          </w:tcPr>
          <w:p w14:paraId="46AAD284">
            <w:pPr>
              <w:jc w:val="center"/>
              <w:rPr>
                <w:rFonts w:hint="default" w:ascii="宋体" w:hAnsi="宋体" w:eastAsia="宋体"/>
                <w:sz w:val="22"/>
                <w:lang w:val="en-US" w:eastAsia="zh-CN"/>
              </w:rPr>
            </w:pPr>
            <w:r>
              <w:rPr>
                <w:rFonts w:hint="eastAsia" w:ascii="宋体" w:hAnsi="宋体" w:eastAsia="宋体"/>
                <w:sz w:val="22"/>
                <w:lang w:val="en-US" w:eastAsia="zh-CN"/>
              </w:rPr>
              <w:t>鲍建华</w:t>
            </w:r>
          </w:p>
        </w:tc>
        <w:tc>
          <w:tcPr>
            <w:tcW w:w="856" w:type="dxa"/>
            <w:vAlign w:val="center"/>
          </w:tcPr>
          <w:p w14:paraId="225AE786">
            <w:pPr>
              <w:jc w:val="center"/>
              <w:rPr>
                <w:rFonts w:hint="eastAsia" w:ascii="宋体" w:hAnsi="宋体" w:eastAsia="宋体"/>
                <w:sz w:val="24"/>
                <w:szCs w:val="24"/>
              </w:rPr>
            </w:pPr>
            <w:r>
              <w:rPr>
                <w:rFonts w:hint="eastAsia" w:ascii="宋体" w:hAnsi="宋体" w:eastAsia="宋体"/>
                <w:sz w:val="24"/>
                <w:szCs w:val="24"/>
              </w:rPr>
              <w:t>学号</w:t>
            </w:r>
          </w:p>
        </w:tc>
        <w:tc>
          <w:tcPr>
            <w:tcW w:w="2546" w:type="dxa"/>
            <w:vAlign w:val="center"/>
          </w:tcPr>
          <w:p w14:paraId="1470C3CB">
            <w:pPr>
              <w:jc w:val="center"/>
              <w:rPr>
                <w:rFonts w:hint="default" w:ascii="宋体" w:hAnsi="宋体" w:eastAsia="宋体"/>
                <w:sz w:val="22"/>
                <w:lang w:val="en-US" w:eastAsia="zh-CN"/>
              </w:rPr>
            </w:pPr>
            <w:r>
              <w:rPr>
                <w:rFonts w:hint="eastAsia" w:ascii="宋体" w:hAnsi="宋体" w:eastAsia="宋体"/>
                <w:sz w:val="22"/>
                <w:lang w:val="en-US" w:eastAsia="zh-CN"/>
              </w:rPr>
              <w:t>20252722</w:t>
            </w:r>
          </w:p>
        </w:tc>
        <w:tc>
          <w:tcPr>
            <w:tcW w:w="856" w:type="dxa"/>
            <w:vAlign w:val="center"/>
          </w:tcPr>
          <w:p w14:paraId="4513FA7E">
            <w:pPr>
              <w:jc w:val="center"/>
              <w:rPr>
                <w:rFonts w:hint="eastAsia" w:ascii="宋体" w:hAnsi="宋体" w:eastAsia="宋体"/>
                <w:sz w:val="24"/>
                <w:szCs w:val="24"/>
              </w:rPr>
            </w:pPr>
            <w:r>
              <w:rPr>
                <w:rFonts w:hint="eastAsia" w:ascii="宋体" w:hAnsi="宋体" w:eastAsia="宋体"/>
                <w:sz w:val="24"/>
                <w:szCs w:val="24"/>
              </w:rPr>
              <w:t>电话</w:t>
            </w:r>
          </w:p>
        </w:tc>
        <w:tc>
          <w:tcPr>
            <w:tcW w:w="2126" w:type="dxa"/>
            <w:vAlign w:val="center"/>
          </w:tcPr>
          <w:p w14:paraId="2A7D9302">
            <w:pPr>
              <w:jc w:val="center"/>
              <w:rPr>
                <w:rFonts w:hint="default" w:ascii="宋体" w:hAnsi="宋体" w:eastAsia="宋体"/>
                <w:sz w:val="22"/>
                <w:lang w:val="en-US" w:eastAsia="zh-CN"/>
              </w:rPr>
            </w:pPr>
            <w:r>
              <w:rPr>
                <w:rFonts w:hint="eastAsia" w:ascii="宋体" w:hAnsi="宋体" w:eastAsia="宋体"/>
                <w:sz w:val="22"/>
                <w:lang w:val="en-US" w:eastAsia="zh-CN"/>
              </w:rPr>
              <w:t>13504001913</w:t>
            </w:r>
          </w:p>
        </w:tc>
      </w:tr>
      <w:tr w14:paraId="566AD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282" w:type="dxa"/>
            <w:vAlign w:val="center"/>
          </w:tcPr>
          <w:p w14:paraId="20E66E46">
            <w:pPr>
              <w:jc w:val="center"/>
              <w:rPr>
                <w:rFonts w:hint="eastAsia" w:ascii="宋体" w:hAnsi="宋体" w:eastAsia="宋体"/>
                <w:sz w:val="24"/>
                <w:szCs w:val="24"/>
              </w:rPr>
            </w:pPr>
            <w:r>
              <w:rPr>
                <w:rFonts w:hint="eastAsia" w:ascii="宋体" w:hAnsi="宋体" w:eastAsia="宋体"/>
                <w:sz w:val="24"/>
                <w:szCs w:val="24"/>
              </w:rPr>
              <w:t>学院</w:t>
            </w:r>
          </w:p>
        </w:tc>
        <w:tc>
          <w:tcPr>
            <w:tcW w:w="1696" w:type="dxa"/>
            <w:vAlign w:val="center"/>
          </w:tcPr>
          <w:p w14:paraId="43213644">
            <w:pPr>
              <w:jc w:val="center"/>
              <w:rPr>
                <w:rFonts w:hint="default" w:ascii="宋体" w:hAnsi="宋体" w:eastAsia="宋体"/>
                <w:sz w:val="22"/>
                <w:lang w:val="en-US" w:eastAsia="zh-CN"/>
              </w:rPr>
            </w:pPr>
            <w:r>
              <w:rPr>
                <w:rFonts w:hint="eastAsia" w:ascii="宋体" w:hAnsi="宋体" w:eastAsia="宋体"/>
                <w:sz w:val="22"/>
                <w:lang w:val="en-US" w:eastAsia="zh-CN"/>
              </w:rPr>
              <w:t>软件学院</w:t>
            </w:r>
          </w:p>
        </w:tc>
        <w:tc>
          <w:tcPr>
            <w:tcW w:w="856" w:type="dxa"/>
            <w:vAlign w:val="center"/>
          </w:tcPr>
          <w:p w14:paraId="5C240359">
            <w:pPr>
              <w:jc w:val="center"/>
              <w:rPr>
                <w:rFonts w:hint="eastAsia" w:ascii="宋体" w:hAnsi="宋体" w:eastAsia="宋体"/>
                <w:sz w:val="24"/>
                <w:szCs w:val="24"/>
              </w:rPr>
            </w:pPr>
            <w:r>
              <w:rPr>
                <w:rFonts w:hint="eastAsia" w:ascii="宋体" w:hAnsi="宋体" w:eastAsia="宋体"/>
                <w:sz w:val="24"/>
                <w:szCs w:val="24"/>
              </w:rPr>
              <w:t>班级</w:t>
            </w:r>
          </w:p>
          <w:p w14:paraId="6C2BA970">
            <w:pPr>
              <w:jc w:val="center"/>
              <w:rPr>
                <w:rFonts w:hint="eastAsia" w:ascii="宋体" w:hAnsi="宋体" w:eastAsia="宋体"/>
                <w:sz w:val="24"/>
                <w:szCs w:val="24"/>
              </w:rPr>
            </w:pPr>
            <w:r>
              <w:rPr>
                <w:rFonts w:hint="eastAsia" w:ascii="宋体" w:hAnsi="宋体" w:eastAsia="宋体"/>
                <w:sz w:val="24"/>
                <w:szCs w:val="24"/>
              </w:rPr>
              <w:t>专业</w:t>
            </w:r>
          </w:p>
        </w:tc>
        <w:tc>
          <w:tcPr>
            <w:tcW w:w="2546" w:type="dxa"/>
            <w:vAlign w:val="center"/>
          </w:tcPr>
          <w:p w14:paraId="62102C9D">
            <w:pPr>
              <w:jc w:val="center"/>
              <w:rPr>
                <w:rFonts w:hint="default" w:ascii="宋体" w:hAnsi="宋体" w:eastAsia="宋体"/>
                <w:sz w:val="22"/>
                <w:lang w:val="en-US" w:eastAsia="zh-CN"/>
              </w:rPr>
            </w:pPr>
            <w:r>
              <w:rPr>
                <w:rFonts w:hint="eastAsia" w:ascii="宋体" w:hAnsi="宋体" w:eastAsia="宋体"/>
                <w:sz w:val="22"/>
                <w:lang w:val="en-US" w:eastAsia="zh-CN"/>
              </w:rPr>
              <w:t>计算机类2511</w:t>
            </w:r>
          </w:p>
        </w:tc>
        <w:tc>
          <w:tcPr>
            <w:tcW w:w="856" w:type="dxa"/>
            <w:vAlign w:val="center"/>
          </w:tcPr>
          <w:p w14:paraId="218C77DA">
            <w:pPr>
              <w:jc w:val="center"/>
              <w:rPr>
                <w:rFonts w:hint="eastAsia" w:ascii="宋体" w:hAnsi="宋体" w:eastAsia="宋体"/>
                <w:sz w:val="24"/>
                <w:szCs w:val="24"/>
              </w:rPr>
            </w:pPr>
            <w:r>
              <w:rPr>
                <w:rFonts w:hint="eastAsia" w:ascii="宋体" w:hAnsi="宋体" w:eastAsia="宋体"/>
                <w:sz w:val="24"/>
                <w:szCs w:val="24"/>
              </w:rPr>
              <w:t>指导</w:t>
            </w:r>
          </w:p>
          <w:p w14:paraId="24DEA07E">
            <w:pPr>
              <w:jc w:val="center"/>
              <w:rPr>
                <w:rFonts w:hint="eastAsia" w:ascii="宋体" w:hAnsi="宋体" w:eastAsia="宋体"/>
                <w:sz w:val="24"/>
                <w:szCs w:val="24"/>
              </w:rPr>
            </w:pPr>
            <w:r>
              <w:rPr>
                <w:rFonts w:hint="eastAsia" w:ascii="宋体" w:hAnsi="宋体" w:eastAsia="宋体"/>
                <w:sz w:val="24"/>
                <w:szCs w:val="24"/>
              </w:rPr>
              <w:t>教师</w:t>
            </w:r>
          </w:p>
        </w:tc>
        <w:tc>
          <w:tcPr>
            <w:tcW w:w="2126" w:type="dxa"/>
            <w:vAlign w:val="center"/>
          </w:tcPr>
          <w:p w14:paraId="0BBFC164">
            <w:pPr>
              <w:jc w:val="center"/>
              <w:rPr>
                <w:rFonts w:hint="default" w:ascii="宋体" w:hAnsi="宋体" w:eastAsia="宋体"/>
                <w:sz w:val="24"/>
                <w:szCs w:val="24"/>
                <w:lang w:val="en-US" w:eastAsia="zh-CN"/>
              </w:rPr>
            </w:pPr>
            <w:r>
              <w:rPr>
                <w:rFonts w:hint="eastAsia" w:ascii="宋体" w:hAnsi="宋体" w:eastAsia="宋体"/>
                <w:sz w:val="24"/>
                <w:szCs w:val="24"/>
                <w:lang w:val="en-US" w:eastAsia="zh-CN"/>
              </w:rPr>
              <w:t>张昊</w:t>
            </w:r>
          </w:p>
        </w:tc>
      </w:tr>
      <w:tr w14:paraId="538C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282" w:type="dxa"/>
            <w:vAlign w:val="center"/>
          </w:tcPr>
          <w:p w14:paraId="5B791E69">
            <w:pPr>
              <w:jc w:val="center"/>
              <w:rPr>
                <w:rFonts w:hint="eastAsia" w:ascii="宋体" w:hAnsi="宋体" w:eastAsia="宋体"/>
                <w:sz w:val="24"/>
                <w:szCs w:val="24"/>
              </w:rPr>
            </w:pPr>
            <w:r>
              <w:rPr>
                <w:rFonts w:hint="eastAsia" w:ascii="宋体" w:hAnsi="宋体" w:eastAsia="宋体"/>
                <w:sz w:val="24"/>
                <w:szCs w:val="24"/>
              </w:rPr>
              <w:t>理论依据</w:t>
            </w:r>
          </w:p>
        </w:tc>
        <w:tc>
          <w:tcPr>
            <w:tcW w:w="8080" w:type="dxa"/>
            <w:gridSpan w:val="5"/>
            <w:vAlign w:val="center"/>
          </w:tcPr>
          <w:p w14:paraId="509086B3">
            <w:pPr>
              <w:jc w:val="center"/>
              <w:rPr>
                <w:rFonts w:hint="eastAsia" w:ascii="宋体" w:hAnsi="宋体" w:eastAsia="宋体"/>
                <w:sz w:val="22"/>
              </w:rPr>
            </w:pPr>
            <w:r>
              <w:rPr>
                <w:rFonts w:hint="eastAsia" w:ascii="宋体" w:hAnsi="宋体" w:eastAsia="宋体"/>
                <w:sz w:val="22"/>
              </w:rPr>
              <w:t>2026年是中国工农红军长征胜利90周年。长征不仅是一次战略转移的伟大胜利，更铸就了坚定信念、不怕牺牲、独立自主、团结奋斗的长征精神，成为中国共产党人和中国人民砥砺前行的重要精神动力。值此重要历史节点，深入挖掘长征精神的时代内涵、赓续红色血脉，是新时代大学生思想政治教育的核心课题。 王若飞（1896—1946）是中国共产党早期杰出的无产阶级革命家，2009年入选“100位为新中国成立作出突出贡献的英雄模范人物”。他以“一切要为人民打算”为人生信条，毕生践行了对党和人民的无限忠诚。1931年10月，王若飞受共产国际和中共中央派遣回国，作为中共西北特委特派员来到包头，以旅蒙商人身份化名黄敬斋，住在包头东河区复成元巷的泰安客栈，以包头为中心领导陕甘宁一带的革命斗争，与时任中共西蒙工委书记乌兰夫接上关系，在短短一个多月的时间里开展了一系列革命活动</w:t>
            </w:r>
            <w:r>
              <w:rPr>
                <w:rFonts w:hint="eastAsia" w:ascii="宋体" w:hAnsi="宋体" w:eastAsia="宋体"/>
                <w:sz w:val="22"/>
              </w:rPr>
              <w:fldChar w:fldCharType="begin"/>
            </w:r>
            <w:r>
              <w:rPr>
                <w:rFonts w:hint="eastAsia" w:ascii="宋体" w:hAnsi="宋体" w:eastAsia="宋体"/>
                <w:sz w:val="22"/>
              </w:rPr>
              <w:instrText xml:space="preserve"> HYPERLINK "https://www.zhongguolaoqu.com/index.php?m=content&amp;c=index&amp;a=show&amp;catid=23&amp;id=71045"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fldChar w:fldCharType="begin"/>
            </w:r>
            <w:r>
              <w:rPr>
                <w:rFonts w:hint="eastAsia" w:ascii="宋体" w:hAnsi="宋体" w:eastAsia="宋体"/>
                <w:sz w:val="22"/>
              </w:rPr>
              <w:instrText xml:space="preserve"> HYPERLINK "https://www.thepaper.cn/newsDetail_forward_15108440"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。同年11月21日晚，因叛徒出卖，王若飞在泰安客栈被国民党当局逮捕，在包头关押期间，他镇定自若、视死如归，没有暴露党组织和其他同志的情况，使敌人一无所获</w:t>
            </w:r>
            <w:r>
              <w:rPr>
                <w:rFonts w:hint="eastAsia" w:ascii="宋体" w:hAnsi="宋体" w:eastAsia="宋体"/>
                <w:sz w:val="22"/>
              </w:rPr>
              <w:fldChar w:fldCharType="begin"/>
            </w:r>
            <w:r>
              <w:rPr>
                <w:rFonts w:hint="eastAsia" w:ascii="宋体" w:hAnsi="宋体" w:eastAsia="宋体"/>
                <w:sz w:val="22"/>
              </w:rPr>
              <w:instrText xml:space="preserve"> HYPERLINK "https://www.thepaper.cn/newsDetail_forward_15108440"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。12月被转押归绥（呼和浩特）“绥远第一模范监狱”，1936年7月转押太原陆军监狱，直至1937年5月才被党组织营救获释</w:t>
            </w:r>
            <w:r>
              <w:rPr>
                <w:rFonts w:hint="eastAsia" w:ascii="宋体" w:hAnsi="宋体" w:eastAsia="宋体"/>
                <w:sz w:val="22"/>
              </w:rPr>
              <w:fldChar w:fldCharType="begin"/>
            </w:r>
            <w:r>
              <w:rPr>
                <w:rFonts w:hint="eastAsia" w:ascii="宋体" w:hAnsi="宋体" w:eastAsia="宋体"/>
                <w:sz w:val="22"/>
              </w:rPr>
              <w:instrText xml:space="preserve"> HYPERLINK "https://www.zhongguolaoqu.com/index.php?m=content&amp;c=index&amp;a=show&amp;catid=23&amp;id=71045"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。在近6年的铁窗生涯中，王若飞始终威武不屈、坚持革命斗争，与敌人进行了顽强的斗争，在狱中写下了“死里逃生唯斗争，铁窗难锁钢铁心”的诗句，鼓舞了无数革命者</w:t>
            </w:r>
            <w:r>
              <w:rPr>
                <w:rFonts w:hint="eastAsia" w:ascii="宋体" w:hAnsi="宋体" w:eastAsia="宋体"/>
                <w:sz w:val="22"/>
              </w:rPr>
              <w:fldChar w:fldCharType="begin"/>
            </w:r>
            <w:r>
              <w:rPr>
                <w:rFonts w:hint="eastAsia" w:ascii="宋体" w:hAnsi="宋体" w:eastAsia="宋体"/>
                <w:sz w:val="22"/>
              </w:rPr>
              <w:instrText xml:space="preserve"> HYPERLINK "http://nmgbwy.cn/m/szbwgNews/info/1890"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 从理论上看，王若飞与长征精神存在深层的逻辑关联。第一，理想信念的高度契合。 长征的胜利是理想信念的胜利。王若飞在狱中面对敌人的严刑拷打和死亡威胁，始终坚贞不屈，被审讯时镇定回答“共产党人”，当警察局长逼问“你们的人在哪里”时，从容答道“到处都有”，让敌人无可奈何</w:t>
            </w:r>
            <w:r>
              <w:rPr>
                <w:rFonts w:hint="eastAsia" w:ascii="宋体" w:hAnsi="宋体" w:eastAsia="宋体"/>
                <w:sz w:val="22"/>
              </w:rPr>
              <w:fldChar w:fldCharType="begin"/>
            </w:r>
            <w:r>
              <w:rPr>
                <w:rFonts w:hint="eastAsia" w:ascii="宋体" w:hAnsi="宋体" w:eastAsia="宋体"/>
                <w:sz w:val="22"/>
              </w:rPr>
              <w:instrText xml:space="preserve"> HYPERLINK "https://baijiahao.baidu.com/s?id=1700723971277083215&amp;wfr=spider&amp;for=pc"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。被捕前夕，王若飞预感处境危险，却坚持住在商贾云集的泰安客栈，以“越是热闹的时候，敌人越是不注意”的智慧开展地下工作</w:t>
            </w:r>
            <w:r>
              <w:rPr>
                <w:rFonts w:hint="eastAsia" w:ascii="宋体" w:hAnsi="宋体" w:eastAsia="宋体"/>
                <w:sz w:val="22"/>
              </w:rPr>
              <w:fldChar w:fldCharType="begin"/>
            </w:r>
            <w:r>
              <w:rPr>
                <w:rFonts w:hint="eastAsia" w:ascii="宋体" w:hAnsi="宋体" w:eastAsia="宋体"/>
                <w:sz w:val="22"/>
              </w:rPr>
              <w:instrText xml:space="preserve"> HYPERLINK "http://nm.cnr.cn/neimenggufenwang/xinwenshiting/20150308/t20150308_517928740.shtml"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。这种临危不惧、视死如归的英雄气概，与长征途中红军将士的浴血奋战、前赴后继同根同源。第二，牺牲奉献精神的内在统一。 王若飞把党的重要文件塞入口中，严守了党的机密，让第二天要与他联络的乌兰夫、李森等一批共产党人得以安全转移，使得内蒙古地区的中共党组织得以保全</w:t>
            </w:r>
            <w:r>
              <w:rPr>
                <w:rFonts w:hint="eastAsia" w:ascii="宋体" w:hAnsi="宋体" w:eastAsia="宋体"/>
                <w:sz w:val="22"/>
              </w:rPr>
              <w:fldChar w:fldCharType="begin"/>
            </w:r>
            <w:r>
              <w:rPr>
                <w:rFonts w:hint="eastAsia" w:ascii="宋体" w:hAnsi="宋体" w:eastAsia="宋体"/>
                <w:sz w:val="22"/>
              </w:rPr>
              <w:instrText xml:space="preserve"> HYPERLINK "http://nmgbwy.cn/m/szbwgNews/info/1890"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。他宁可牺牲自己也要保护组织和同志的无私品格，与长征英雄的甘于牺牲共同诠释了共产党人的赤胆忠诚。第三，包头——王若飞革命生涯的关键节点。 包头是王若飞领导西北革命的重要阵地，也是他经受生死考验的见证之地。泰安客栈不仅是王若飞在内蒙古从事革命活动的重要旧址，更是他面对生死抉择、践行入党誓言的革命坐标，保留了原泰安客栈3号房间内的火炕、煤油灯等珍贵历史原貌</w:t>
            </w:r>
            <w:r>
              <w:rPr>
                <w:rFonts w:hint="eastAsia" w:ascii="宋体" w:hAnsi="宋体" w:eastAsia="宋体"/>
                <w:sz w:val="22"/>
              </w:rPr>
              <w:fldChar w:fldCharType="begin"/>
            </w:r>
            <w:r>
              <w:rPr>
                <w:rFonts w:hint="eastAsia" w:ascii="宋体" w:hAnsi="宋体" w:eastAsia="宋体"/>
                <w:sz w:val="22"/>
              </w:rPr>
              <w:instrText xml:space="preserve"> HYPERLINK "https://nmgqq.com.cn/quqinggailan/neimengguyinxiang/fengjingmingsheng/2012-5-24/6068.html"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 基于以上分析，本实践以“长征胜利90周年”为主题，选取内蒙古包头王若飞革命活动旧址（泰安客栈）及王若飞纪念馆作为实践目的地，通过实地参观、史料研读、访谈交流等方式，深入探究王若飞的革命斗争历程与长征精神的内在关联，深刻体悟中国共产党人的初心使命与理想信念，在行走的思政课中接受革命传统教育，传承红色基因。</w:t>
            </w:r>
          </w:p>
        </w:tc>
      </w:tr>
      <w:tr w14:paraId="5984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282" w:type="dxa"/>
            <w:vAlign w:val="center"/>
          </w:tcPr>
          <w:p w14:paraId="49281819">
            <w:pPr>
              <w:jc w:val="center"/>
              <w:rPr>
                <w:rFonts w:hint="eastAsia" w:ascii="宋体" w:hAnsi="宋体" w:eastAsia="宋体"/>
                <w:sz w:val="24"/>
                <w:szCs w:val="24"/>
              </w:rPr>
            </w:pPr>
            <w:r>
              <w:rPr>
                <w:rFonts w:hint="eastAsia" w:ascii="宋体" w:hAnsi="宋体" w:eastAsia="宋体"/>
                <w:sz w:val="24"/>
                <w:szCs w:val="24"/>
              </w:rPr>
              <w:t>实践题目</w:t>
            </w:r>
          </w:p>
        </w:tc>
        <w:tc>
          <w:tcPr>
            <w:tcW w:w="8080" w:type="dxa"/>
            <w:gridSpan w:val="5"/>
            <w:vAlign w:val="center"/>
          </w:tcPr>
          <w:p w14:paraId="22315485">
            <w:pPr>
              <w:jc w:val="center"/>
              <w:rPr>
                <w:rFonts w:hint="eastAsia" w:ascii="宋体" w:hAnsi="宋体" w:eastAsia="宋体"/>
                <w:sz w:val="22"/>
              </w:rPr>
            </w:pPr>
            <w:r>
              <w:rPr>
                <w:rFonts w:hint="eastAsia" w:ascii="宋体" w:hAnsi="宋体" w:eastAsia="宋体"/>
                <w:sz w:val="22"/>
              </w:rPr>
              <w:t>追寻红色足迹 弘扬长征精神——基于内蒙古包头王若飞纪念馆的革命传统教育实践</w:t>
            </w:r>
          </w:p>
        </w:tc>
      </w:tr>
      <w:tr w14:paraId="53CE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282" w:type="dxa"/>
            <w:vAlign w:val="center"/>
          </w:tcPr>
          <w:p w14:paraId="40932CEC">
            <w:pPr>
              <w:jc w:val="center"/>
              <w:rPr>
                <w:rFonts w:hint="eastAsia" w:ascii="宋体" w:hAnsi="宋体" w:eastAsia="宋体"/>
                <w:sz w:val="24"/>
                <w:szCs w:val="24"/>
              </w:rPr>
            </w:pPr>
            <w:r>
              <w:rPr>
                <w:rFonts w:hint="eastAsia" w:ascii="宋体" w:hAnsi="宋体" w:eastAsia="宋体"/>
                <w:sz w:val="24"/>
                <w:szCs w:val="24"/>
              </w:rPr>
              <w:t>实践对象</w:t>
            </w:r>
          </w:p>
        </w:tc>
        <w:tc>
          <w:tcPr>
            <w:tcW w:w="8080" w:type="dxa"/>
            <w:gridSpan w:val="5"/>
            <w:vAlign w:val="center"/>
          </w:tcPr>
          <w:p w14:paraId="692F39F1">
            <w:pPr>
              <w:jc w:val="center"/>
              <w:rPr>
                <w:rFonts w:hint="eastAsia" w:ascii="宋体" w:hAnsi="宋体" w:eastAsia="宋体"/>
                <w:sz w:val="22"/>
              </w:rPr>
            </w:pPr>
            <w:r>
              <w:rPr>
                <w:rFonts w:hint="eastAsia" w:ascii="宋体" w:hAnsi="宋体" w:eastAsia="宋体"/>
                <w:sz w:val="22"/>
              </w:rPr>
              <w:t>主要实践对象为内蒙古包头王若飞革命活动旧址（泰安客栈）及王若飞纪念馆，兼及周边红色文化遗址。具体包括： 1. 王若飞纪念馆及其展陈。纪念馆位于包头市东河区通顺街3号，原称泰安客栈，原是一座四合院落，占地面积约1836平方米，现占地面积552.79平方米，共有房间6间，其中正房4间为展厅，常年展出革命文物39件，珍贵图片270余张，以及毛泽东、周恩来等为“四·八”烈士题词的石刻碑廊</w:t>
            </w:r>
            <w:r>
              <w:rPr>
                <w:rFonts w:hint="eastAsia" w:ascii="宋体" w:hAnsi="宋体" w:eastAsia="宋体"/>
                <w:sz w:val="22"/>
              </w:rPr>
              <w:fldChar w:fldCharType="begin"/>
            </w:r>
            <w:r>
              <w:rPr>
                <w:rFonts w:hint="eastAsia" w:ascii="宋体" w:hAnsi="宋体" w:eastAsia="宋体"/>
                <w:sz w:val="22"/>
              </w:rPr>
              <w:instrText xml:space="preserve"> HYPERLINK "https://baike.baidu.com/item/%E7%8E%8B%E8%8B%A5%E9%A3%9E%E7%BA%AA%E5%BF%B5%E9%A6%86/16535051?fromModule=lemma_inlink"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。纪念馆以“关山度若飞——王若飞革命活动陈列”常设展览为核心，并设有“红色历程——包头泰安客栈革命历史陈列”专题展</w:t>
            </w:r>
            <w:r>
              <w:rPr>
                <w:rFonts w:hint="eastAsia" w:ascii="宋体" w:hAnsi="宋体" w:eastAsia="宋体"/>
                <w:sz w:val="22"/>
              </w:rPr>
              <w:fldChar w:fldCharType="begin"/>
            </w:r>
            <w:r>
              <w:rPr>
                <w:rFonts w:hint="eastAsia" w:ascii="宋体" w:hAnsi="宋体" w:eastAsia="宋体"/>
                <w:sz w:val="22"/>
              </w:rPr>
              <w:instrText xml:space="preserve"> HYPERLINK "http://mw.baotou.gov.cn/ywdt/gzdt/202510/t20251005_664312.html"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 2. 泰安客栈革命旧址。王若飞1931年在包头开展地下革命活动时寓居和被捕的地方，原泰安客栈3号房间内保留有火炕一盘、小方桌一张、煤油灯一盏、骨牌凳子两张等革命文物，基本保持了被捕时的原貌</w:t>
            </w:r>
            <w:r>
              <w:rPr>
                <w:rFonts w:hint="eastAsia" w:ascii="宋体" w:hAnsi="宋体" w:eastAsia="宋体"/>
                <w:sz w:val="22"/>
              </w:rPr>
              <w:fldChar w:fldCharType="begin"/>
            </w:r>
            <w:r>
              <w:rPr>
                <w:rFonts w:hint="eastAsia" w:ascii="宋体" w:hAnsi="宋体" w:eastAsia="宋体"/>
                <w:sz w:val="22"/>
              </w:rPr>
              <w:instrText xml:space="preserve"> HYPERLINK "https://nmgqq.com.cn/quqinggailan/neimengguyinxiang/fengjingmingsheng/2012-5-24/6068.html"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 3. 中共包头工委旧址（福徵寺） 。位于包头市东河区南圪洞街道，是1925年建立的包头第一个中共组织所在地，李裕智任书记，见证了中国共产党在包头地区早期革命活动的重要历史</w:t>
            </w:r>
            <w:r>
              <w:rPr>
                <w:rFonts w:hint="eastAsia" w:ascii="宋体" w:hAnsi="宋体" w:eastAsia="宋体"/>
                <w:sz w:val="22"/>
              </w:rPr>
              <w:fldChar w:fldCharType="begin"/>
            </w:r>
            <w:r>
              <w:rPr>
                <w:rFonts w:hint="eastAsia" w:ascii="宋体" w:hAnsi="宋体" w:eastAsia="宋体"/>
                <w:sz w:val="22"/>
              </w:rPr>
              <w:instrText xml:space="preserve"> HYPERLINK "https://nmgqq.com.cn/quxiangaikuang/baotoushi/donghequ/gemingyizhi11111/2024-05-22/31220.html" \t "https://chat.deepseek.com/a/chat/s/_blank" </w:instrText>
            </w:r>
            <w:r>
              <w:rPr>
                <w:rFonts w:hint="eastAsia" w:ascii="宋体" w:hAnsi="宋体" w:eastAsia="宋体"/>
                <w:sz w:val="22"/>
              </w:rPr>
              <w:fldChar w:fldCharType="separate"/>
            </w:r>
            <w:r>
              <w:rPr>
                <w:rFonts w:hint="eastAsia" w:ascii="宋体" w:hAnsi="宋体" w:eastAsia="宋体"/>
                <w:sz w:val="22"/>
              </w:rPr>
              <w:fldChar w:fldCharType="end"/>
            </w:r>
            <w:r>
              <w:rPr>
                <w:rFonts w:hint="eastAsia" w:ascii="宋体" w:hAnsi="宋体" w:eastAsia="宋体"/>
                <w:sz w:val="22"/>
              </w:rPr>
              <w:t>。 4. 实践过程中可交流的访谈对象，主要包括纪念馆讲解员、工作人员以及参观游客。 通过以上调研，全面了解王若飞在包头领导西北地区革命斗争的光辉历程，深入探究其奋斗历程与长征精神之间的内在联系。</w:t>
            </w:r>
          </w:p>
        </w:tc>
      </w:tr>
      <w:tr w14:paraId="34E5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1" w:hRule="atLeast"/>
        </w:trPr>
        <w:tc>
          <w:tcPr>
            <w:tcW w:w="1282" w:type="dxa"/>
            <w:vAlign w:val="center"/>
          </w:tcPr>
          <w:p w14:paraId="3C05BB00">
            <w:pPr>
              <w:jc w:val="center"/>
              <w:rPr>
                <w:rFonts w:hint="eastAsia" w:ascii="宋体" w:hAnsi="宋体" w:eastAsia="宋体"/>
                <w:sz w:val="24"/>
                <w:szCs w:val="24"/>
              </w:rPr>
            </w:pPr>
            <w:r>
              <w:rPr>
                <w:rFonts w:hint="eastAsia" w:ascii="宋体" w:hAnsi="宋体" w:eastAsia="宋体"/>
                <w:sz w:val="24"/>
                <w:szCs w:val="24"/>
              </w:rPr>
              <w:t>实践方案</w:t>
            </w:r>
          </w:p>
        </w:tc>
        <w:tc>
          <w:tcPr>
            <w:tcW w:w="8080" w:type="dxa"/>
            <w:gridSpan w:val="5"/>
            <w:vAlign w:val="center"/>
          </w:tcPr>
          <w:p w14:paraId="42E3B6B5">
            <w:pPr>
              <w:rPr>
                <w:rFonts w:hint="eastAsia" w:ascii="宋体" w:hAnsi="宋体" w:eastAsia="宋体"/>
                <w:sz w:val="24"/>
                <w:szCs w:val="24"/>
              </w:rPr>
            </w:pPr>
            <w:r>
              <w:rPr>
                <w:rFonts w:hint="eastAsia" w:ascii="宋体" w:hAnsi="宋体" w:eastAsia="宋体"/>
                <w:sz w:val="24"/>
                <w:szCs w:val="24"/>
              </w:rPr>
              <w:t>一、时间安排 本实践计划于2026年暑期7月中旬开展，总时长约3—4天。具体安排如下： 第一天：出发与前期准备。 从学校出发前往内蒙古包头，抵达后查阅王若飞在包头革命活动相关资料，了解包头红色文化资源分布，提前与王若飞纪念馆联系确认参观时间。 第二天：王若飞纪念馆及泰安客栈旧址实地参观。 上午，在讲解员引导下全面参观王若飞纪念馆各展区，重点参观“关山度若飞——王若飞革命活动陈列”常设展览与“红色历程——包头泰安客栈革命历史陈列”专题展，仔细观摩王若飞同志的革命文物、珍贵图片和手稿史料，了解其留学报国、投身革命、领导西北斗争、狱中斗争的光辉历程</w:t>
            </w:r>
            <w:r>
              <w:rPr>
                <w:rFonts w:hint="eastAsia" w:ascii="宋体" w:hAnsi="宋体" w:eastAsia="宋体"/>
                <w:sz w:val="24"/>
                <w:szCs w:val="24"/>
              </w:rPr>
              <w:fldChar w:fldCharType="begin"/>
            </w:r>
            <w:r>
              <w:rPr>
                <w:rFonts w:hint="eastAsia" w:ascii="宋体" w:hAnsi="宋体" w:eastAsia="宋体"/>
                <w:sz w:val="24"/>
                <w:szCs w:val="24"/>
              </w:rPr>
              <w:instrText xml:space="preserve"> HYPERLINK "https://mw.nmg.gov.cn/xw/msdt/202603/t20260323_2877461.html" \t "https://chat.deepseek.com/a/chat/s/_blank" </w:instrText>
            </w:r>
            <w:r>
              <w:rPr>
                <w:rFonts w:hint="eastAsia" w:ascii="宋体" w:hAnsi="宋体" w:eastAsia="宋体"/>
                <w:sz w:val="24"/>
                <w:szCs w:val="24"/>
              </w:rPr>
              <w:fldChar w:fldCharType="separate"/>
            </w:r>
            <w:r>
              <w:rPr>
                <w:rFonts w:hint="eastAsia" w:ascii="宋体" w:hAnsi="宋体" w:eastAsia="宋体"/>
                <w:sz w:val="24"/>
                <w:szCs w:val="24"/>
              </w:rPr>
              <w:fldChar w:fldCharType="end"/>
            </w:r>
            <w:r>
              <w:rPr>
                <w:rFonts w:hint="eastAsia" w:ascii="宋体" w:hAnsi="宋体" w:eastAsia="宋体"/>
                <w:sz w:val="24"/>
                <w:szCs w:val="24"/>
              </w:rPr>
              <w:t>。下午，实地考察原泰安客栈3号房间——王若飞在包头的寓居处和被国民党当局逮捕的地方，在庄严肃穆的氛围中感受革命先烈临危不惧、视死如归的大无畏英雄气概。 第三天：周边红色文化遗址探访与访谈交流。 上午，走访中共包头工委旧址（福徵寺），了解1925年包头第一个中共组织建立的历史背景和李裕智等革命先辈在包头开展革命工作的光荣事迹</w:t>
            </w:r>
            <w:r>
              <w:rPr>
                <w:rFonts w:hint="eastAsia" w:ascii="宋体" w:hAnsi="宋体" w:eastAsia="宋体"/>
                <w:sz w:val="24"/>
                <w:szCs w:val="24"/>
              </w:rPr>
              <w:fldChar w:fldCharType="begin"/>
            </w:r>
            <w:r>
              <w:rPr>
                <w:rFonts w:hint="eastAsia" w:ascii="宋体" w:hAnsi="宋体" w:eastAsia="宋体"/>
                <w:sz w:val="24"/>
                <w:szCs w:val="24"/>
              </w:rPr>
              <w:instrText xml:space="preserve"> HYPERLINK "https://nmgqq.com.cn/quxiangaikuang/baotoushi/donghequ/gemingyizhi11111/2024-05-22/31220.html" \t "https://chat.deepseek.com/a/chat/s/_blank" </w:instrText>
            </w:r>
            <w:r>
              <w:rPr>
                <w:rFonts w:hint="eastAsia" w:ascii="宋体" w:hAnsi="宋体" w:eastAsia="宋体"/>
                <w:sz w:val="24"/>
                <w:szCs w:val="24"/>
              </w:rPr>
              <w:fldChar w:fldCharType="separate"/>
            </w:r>
            <w:r>
              <w:rPr>
                <w:rFonts w:hint="eastAsia" w:ascii="宋体" w:hAnsi="宋体" w:eastAsia="宋体"/>
                <w:sz w:val="24"/>
                <w:szCs w:val="24"/>
              </w:rPr>
              <w:fldChar w:fldCharType="end"/>
            </w:r>
            <w:r>
              <w:rPr>
                <w:rFonts w:hint="eastAsia" w:ascii="宋体" w:hAnsi="宋体" w:eastAsia="宋体"/>
                <w:sz w:val="24"/>
                <w:szCs w:val="24"/>
              </w:rPr>
              <w:t>。下午，访谈王若飞纪念馆工作人员或讲解员，了解纪念馆如何在长征胜利90周年之际开展红色教育活动，以及如何将王若飞革命精神与长征精神相融合进行宣传教育。同时，搜集纪念馆在长征胜利90周年期间策划的专题展览与研学活动资料。 第四天：总结与返程。 整理调研笔记、照片等资料，撰写实践日志，准备后续社会实践报告撰写，返程。 二、实践形式 1. 实地考察与沉浸式学习。 在王若飞纪念馆展厅及泰安客栈旧址开展沉浸式参观学习，通过历史图片、革命文物和场景还原深入了解王若飞的革命事迹。 2. 访谈调研。 与纪念馆工作人员、讲解员进行交流，了解红色场馆的思政教育功能以及长征精神在新时代的传承实践。 3. 小组讨论与反思。 每日参观结束后组织组内讨论，围绕“王若飞的狱中斗争与长征精神的联系”“如何在新时代弘扬长征精神”等议题进行交流。 4. 资料收集与整理。 拍摄代表性实践照片（含本人正面实践照），收集纪念馆宣传资料与革命故事，为后期社会实践报告撰写积累素材。 三、实践分工 本实践以团队方式开展，团队人数为4—5人：1人统筹协调（联络纪念馆、安排行程），1人负责访谈与交流，1人负责影像记录，1—2人负责资料收集与文字记</w:t>
            </w:r>
            <w:bookmarkStart w:id="0" w:name="_GoBack"/>
            <w:bookmarkEnd w:id="0"/>
            <w:r>
              <w:rPr>
                <w:rFonts w:hint="eastAsia" w:ascii="宋体" w:hAnsi="宋体" w:eastAsia="宋体"/>
                <w:sz w:val="24"/>
                <w:szCs w:val="24"/>
              </w:rPr>
              <w:t>录。本人承担资料收集与文字记录工作。</w:t>
            </w:r>
          </w:p>
        </w:tc>
      </w:tr>
      <w:tr w14:paraId="4C6E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trPr>
        <w:tc>
          <w:tcPr>
            <w:tcW w:w="1282" w:type="dxa"/>
            <w:vAlign w:val="center"/>
          </w:tcPr>
          <w:p w14:paraId="52CCDF24">
            <w:pPr>
              <w:rPr>
                <w:rFonts w:hint="eastAsia" w:ascii="宋体" w:hAnsi="宋体" w:eastAsia="宋体"/>
                <w:sz w:val="24"/>
                <w:szCs w:val="24"/>
              </w:rPr>
            </w:pPr>
            <w:r>
              <w:rPr>
                <w:rFonts w:hint="eastAsia" w:ascii="宋体" w:hAnsi="宋体" w:eastAsia="宋体"/>
                <w:sz w:val="24"/>
                <w:szCs w:val="24"/>
              </w:rPr>
              <w:t>实践方法</w:t>
            </w:r>
          </w:p>
        </w:tc>
        <w:tc>
          <w:tcPr>
            <w:tcW w:w="8080" w:type="dxa"/>
            <w:gridSpan w:val="5"/>
            <w:vAlign w:val="center"/>
          </w:tcPr>
          <w:p w14:paraId="18994EBC">
            <w:pPr>
              <w:rPr>
                <w:rFonts w:hint="eastAsia" w:ascii="宋体" w:hAnsi="宋体" w:eastAsia="宋体"/>
                <w:sz w:val="24"/>
                <w:szCs w:val="24"/>
              </w:rPr>
            </w:pPr>
            <w:r>
              <w:rPr>
                <w:rFonts w:hint="eastAsia" w:ascii="宋体" w:hAnsi="宋体" w:eastAsia="宋体"/>
                <w:sz w:val="24"/>
                <w:szCs w:val="24"/>
              </w:rPr>
              <w:t>本实践综合运用多种社会调查方法，确保调研的真实性、丰富性和深刻性： 1. 文献研究法。 前期通过图书馆、学术数据库等渠道查阅王若飞生平研究文献、长征精神研究资料以及包头地区红色文化资源相关论著，深入了解1930年代中国共产党在西北地区的革命斗争历史，形成对实践主题的理论认知。 2. 实地观察法。 在王若飞纪念馆各展厅及泰安客栈旧址进行系统观察，重点观察展陈内容的主题编排、陈列方式与叙事逻辑，分析其如何通过革命文物、历史图片和场景还原呈现王若飞与长征精神的关联。 3. 访谈法。 采用半结构化访谈方式，围绕“王若飞在包头的革命活动与长征的关系”“纪念馆如何开展长征胜利90周年主题教育活动”等核心问题，访谈纪念馆工作人员、讲解员。 4. 影像记录法。 拍摄王若飞纪念馆外景、展厅场景、泰安客栈3号房间原貌、重要文物、代表性照片及本人参观实践照片，留存视觉档案。 5. 参与观察法。 参与纪念馆开展的红色教育活动（如参观展览、听取讲解、参与互动等），在参与中观察和体验红色教育的实际效果与现场氛围。 6. 比较研究法。 将王若飞在狱中坚持斗争的革命意志与长征途中红军将士浴血奋战的英雄气概进行比较，深入挖掘二者在理想信念层面的内在一致性；同时，将王若飞纪念馆的红色教育与其他红色教育基地的教育模式进行比较分析。</w:t>
            </w:r>
          </w:p>
        </w:tc>
      </w:tr>
    </w:tbl>
    <w:p w14:paraId="3A3188B1">
      <w:pPr>
        <w:rPr>
          <w:rFonts w:hint="eastAsia"/>
          <w:sz w:val="18"/>
          <w:szCs w:val="18"/>
        </w:rPr>
      </w:pPr>
      <w:r>
        <w:rPr>
          <w:rFonts w:hint="eastAsia"/>
          <w:sz w:val="18"/>
          <w:szCs w:val="18"/>
        </w:rPr>
        <w:t>（可另附页）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Ravie">
    <w:panose1 w:val="04040805050809020602"/>
    <w:charset w:val="00"/>
    <w:family w:val="auto"/>
    <w:pitch w:val="default"/>
    <w:sig w:usb0="00000003" w:usb1="00000000" w:usb2="00000000" w:usb3="00000000" w:csb0="20000001" w:csb1="00000000"/>
  </w:font>
  <w:font w:name="Palatino Linotype">
    <w:panose1 w:val="02040502050505030304"/>
    <w:charset w:val="00"/>
    <w:family w:val="auto"/>
    <w:pitch w:val="default"/>
    <w:sig w:usb0="E0000287" w:usb1="40000013" w:usb2="00000000" w:usb3="00000000" w:csb0="2000019F" w:csb1="00000000"/>
  </w:font>
  <w:font w:name="Nirmala UI">
    <w:panose1 w:val="020B0502040204020203"/>
    <w:charset w:val="00"/>
    <w:family w:val="auto"/>
    <w:pitch w:val="default"/>
    <w:sig w:usb0="80FF8023" w:usb1="0200004A" w:usb2="00000200" w:usb3="0004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4B02B1"/>
    <w:rsid w:val="00014111"/>
    <w:rsid w:val="00022AA0"/>
    <w:rsid w:val="000325A1"/>
    <w:rsid w:val="0003525A"/>
    <w:rsid w:val="000459DB"/>
    <w:rsid w:val="00077A2D"/>
    <w:rsid w:val="000A000C"/>
    <w:rsid w:val="000B7186"/>
    <w:rsid w:val="000E6B35"/>
    <w:rsid w:val="001A2958"/>
    <w:rsid w:val="001E5D24"/>
    <w:rsid w:val="002950DE"/>
    <w:rsid w:val="002B3D78"/>
    <w:rsid w:val="002D4F22"/>
    <w:rsid w:val="00300378"/>
    <w:rsid w:val="003937B9"/>
    <w:rsid w:val="003B1E0D"/>
    <w:rsid w:val="004158C5"/>
    <w:rsid w:val="004267AD"/>
    <w:rsid w:val="0048664D"/>
    <w:rsid w:val="00495429"/>
    <w:rsid w:val="004B02B1"/>
    <w:rsid w:val="004B0714"/>
    <w:rsid w:val="005312F1"/>
    <w:rsid w:val="00557335"/>
    <w:rsid w:val="005C2F0F"/>
    <w:rsid w:val="005D69C4"/>
    <w:rsid w:val="005E7D27"/>
    <w:rsid w:val="00622B8B"/>
    <w:rsid w:val="0062391B"/>
    <w:rsid w:val="006F25BC"/>
    <w:rsid w:val="006F41E0"/>
    <w:rsid w:val="00700BE7"/>
    <w:rsid w:val="007108F4"/>
    <w:rsid w:val="00733F07"/>
    <w:rsid w:val="00797D10"/>
    <w:rsid w:val="007B0405"/>
    <w:rsid w:val="007D7F0D"/>
    <w:rsid w:val="00804716"/>
    <w:rsid w:val="008374BA"/>
    <w:rsid w:val="008406AC"/>
    <w:rsid w:val="008543B6"/>
    <w:rsid w:val="00925108"/>
    <w:rsid w:val="009345CC"/>
    <w:rsid w:val="00950D32"/>
    <w:rsid w:val="00971A8A"/>
    <w:rsid w:val="009B6E1E"/>
    <w:rsid w:val="009D1818"/>
    <w:rsid w:val="00AA4691"/>
    <w:rsid w:val="00AF4519"/>
    <w:rsid w:val="00B04F35"/>
    <w:rsid w:val="00B65E7F"/>
    <w:rsid w:val="00BB084E"/>
    <w:rsid w:val="00BB0B0A"/>
    <w:rsid w:val="00C11E2A"/>
    <w:rsid w:val="00C27BE1"/>
    <w:rsid w:val="00C37AE3"/>
    <w:rsid w:val="00D02FAF"/>
    <w:rsid w:val="00D079AF"/>
    <w:rsid w:val="00D1612F"/>
    <w:rsid w:val="00D24D28"/>
    <w:rsid w:val="00D8788C"/>
    <w:rsid w:val="00DC03BF"/>
    <w:rsid w:val="00DC324D"/>
    <w:rsid w:val="00E44054"/>
    <w:rsid w:val="00EC386E"/>
    <w:rsid w:val="00EF2121"/>
    <w:rsid w:val="00EF7B53"/>
    <w:rsid w:val="00F10E5C"/>
    <w:rsid w:val="00F1176E"/>
    <w:rsid w:val="00F83C56"/>
    <w:rsid w:val="00F90EDD"/>
    <w:rsid w:val="00FA5BC5"/>
    <w:rsid w:val="00FB55BC"/>
    <w:rsid w:val="32E36675"/>
    <w:rsid w:val="34B00750"/>
    <w:rsid w:val="36891B36"/>
    <w:rsid w:val="38B426BE"/>
    <w:rsid w:val="68EC01A7"/>
    <w:rsid w:val="709040C6"/>
    <w:rsid w:val="76463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jc w:val="left"/>
    </w:pPr>
    <w:rPr>
      <w:rFonts w:ascii="Calibri" w:hAnsi="Calibri" w:eastAsia="宋体" w:cs="Times New Roman"/>
      <w:kern w:val="0"/>
      <w:sz w:val="24"/>
      <w:szCs w:val="24"/>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3"/>
    <w:qFormat/>
    <w:uiPriority w:val="99"/>
    <w:rPr>
      <w:sz w:val="18"/>
      <w:szCs w:val="18"/>
    </w:rPr>
  </w:style>
  <w:style w:type="character" w:customStyle="1" w:styleId="9">
    <w:name w:val="页脚 字符"/>
    <w:basedOn w:val="7"/>
    <w:link w:val="2"/>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79A1E8-2EBB-492F-B448-7FD5820114D7}">
  <ds:schemaRefs/>
</ds:datastoreItem>
</file>

<file path=docProps/app.xml><?xml version="1.0" encoding="utf-8"?>
<Properties xmlns="http://schemas.openxmlformats.org/officeDocument/2006/extended-properties" xmlns:vt="http://schemas.openxmlformats.org/officeDocument/2006/docPropsVTypes">
  <Template>Normal</Template>
  <Pages>3</Pages>
  <Words>89</Words>
  <Characters>97</Characters>
  <Lines>23</Lines>
  <Paragraphs>22</Paragraphs>
  <TotalTime>8</TotalTime>
  <ScaleCrop>false</ScaleCrop>
  <LinksUpToDate>false</LinksUpToDate>
  <CharactersWithSpaces>97</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2025-04-21T09:18:00Z</dcterms:created>
  <dc:creator>dldl_1021@126.com</dc:creator>
  <cp:lastModifiedBy>鲍建华</cp:lastModifiedBy>
  <dcterms:modified xsi:type="dcterms:W3CDTF">2026-05-30T14:07:53Z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1CA176AA1D944A608646FBD6D892B942_13</vt:lpwstr>
  </property>
  <property fmtid="{D5CDD505-2E9C-101B-9397-08002B2CF9AE}" pid="4" name="KSOTemplateDocerSaveRecord">
    <vt:lpwstr>eyJoZGlkIjoiMzM3ZWYzZDhlYzljYjFhYjIzNDUzZjAxYTBmZDU0ZDciLCJ1c2VySWQiOiI0MzcyMzM0ODAifQ==</vt:lpwstr>
  </property>
</Properties>
</file>