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48D57">
      <w:pPr>
        <w:ind w:firstLine="840" w:firstLineChars="400"/>
        <w:rPr/>
      </w:pPr>
      <w:r>
        <w:rPr>
          <w:rFonts w:hint="default"/>
        </w:rPr>
        <w:t>文本生成模块：</w:t>
      </w:r>
      <w:r>
        <w:rPr>
          <w:rFonts w:hint="eastAsia"/>
          <w:lang w:val="en-US" w:eastAsia="zh-CN"/>
        </w:rPr>
        <w:t>分</w:t>
      </w:r>
      <w:bookmarkStart w:id="0" w:name="_GoBack"/>
      <w:bookmarkEnd w:id="0"/>
      <w:r>
        <w:rPr>
          <w:rFonts w:hint="default"/>
        </w:rPr>
        <w:t>镜设计</w:t>
      </w:r>
    </w:p>
    <w:p w14:paraId="70739D1C">
      <w:pPr>
        <w:rPr>
          <w:rFonts w:hint="default"/>
        </w:rPr>
      </w:pPr>
      <w:r>
        <w:rPr>
          <w:rFonts w:hint="eastAsia"/>
          <w:lang w:val="en-US" w:eastAsia="zh-CN"/>
        </w:rPr>
        <w:t>一.</w:t>
      </w:r>
      <w:r>
        <w:rPr>
          <w:rFonts w:hint="default"/>
        </w:rPr>
        <w:t>核心任务</w:t>
      </w:r>
    </w:p>
    <w:p w14:paraId="05356D86">
      <w:pPr>
        <w:ind w:firstLine="420" w:firstLineChars="200"/>
        <w:rPr>
          <w:rFonts w:hint="default"/>
        </w:rPr>
      </w:pPr>
      <w:r>
        <w:rPr>
          <w:rFonts w:hint="default"/>
        </w:rPr>
        <w:t>生成专业准确、通俗易懂的教学脚本和分镜头台本，为后续图像生成和视频合成提供内容与结构依据。脚本需面向软件工程专业大一学生，用生活化类比解释微服务架构核心概念。</w:t>
      </w:r>
    </w:p>
    <w:p w14:paraId="6E209CC3">
      <w:pPr>
        <w:rPr>
          <w:rFonts w:hint="default"/>
        </w:rPr>
      </w:pPr>
      <w:r>
        <w:rPr>
          <w:rFonts w:hint="default"/>
        </w:rPr>
        <w:t>提示词迭代过程</w:t>
      </w:r>
    </w:p>
    <w:tbl>
      <w:tblPr>
        <w:tblW w:w="8119" w:type="dxa"/>
        <w:tblInd w:w="0" w:type="dxa"/>
        <w:tblBorders>
          <w:top w:val="single" w:color="C8D3DF" w:sz="2" w:space="0"/>
          <w:left w:val="single" w:color="C8D3DF" w:sz="2" w:space="0"/>
          <w:bottom w:val="single" w:color="C8D3DF" w:sz="2" w:space="0"/>
          <w:right w:val="single" w:color="C8D3DF" w:sz="2" w:space="0"/>
          <w:insideH w:val="none" w:color="auto" w:sz="0" w:space="0"/>
          <w:insideV w:val="none" w:color="auto" w:sz="0" w:space="0"/>
        </w:tblBorders>
        <w:shd w:val="clear" w:color="auto" w:fill="F8FA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"/>
        <w:gridCol w:w="3359"/>
        <w:gridCol w:w="1667"/>
        <w:gridCol w:w="2672"/>
      </w:tblGrid>
      <w:tr w14:paraId="5A08B692">
        <w:tblPrEx>
          <w:tblBorders>
            <w:top w:val="single" w:color="C8D3DF" w:sz="2" w:space="0"/>
            <w:left w:val="single" w:color="C8D3DF" w:sz="2" w:space="0"/>
            <w:bottom w:val="single" w:color="C8D3DF" w:sz="2" w:space="0"/>
            <w:right w:val="single" w:color="C8D3DF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bottom w:w="140" w:type="dxa"/>
            </w:tcMar>
            <w:vAlign w:val="bottom"/>
          </w:tcPr>
          <w:p w14:paraId="494E9E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版本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bottom w:w="140" w:type="dxa"/>
            </w:tcMar>
            <w:vAlign w:val="bottom"/>
          </w:tcPr>
          <w:p w14:paraId="2F796A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提示词要点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bottom w:w="140" w:type="dxa"/>
            </w:tcMar>
            <w:vAlign w:val="bottom"/>
          </w:tcPr>
          <w:p w14:paraId="067AAF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生成结果</w:t>
            </w:r>
          </w:p>
        </w:tc>
        <w:tc>
          <w:tcPr>
            <w:tcW w:w="2672" w:type="dxa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bottom w:w="140" w:type="dxa"/>
            </w:tcMar>
            <w:vAlign w:val="bottom"/>
          </w:tcPr>
          <w:p w14:paraId="251789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问题与改进</w:t>
            </w:r>
          </w:p>
        </w:tc>
      </w:tr>
      <w:tr w14:paraId="3B53539F">
        <w:tblPrEx>
          <w:tblBorders>
            <w:top w:val="single" w:color="C8D3DF" w:sz="2" w:space="0"/>
            <w:left w:val="single" w:color="C8D3DF" w:sz="2" w:space="0"/>
            <w:bottom w:val="single" w:color="E5E7EB" w:sz="4" w:space="0"/>
            <w:right w:val="single" w:color="C8D3DF" w:sz="2" w:space="0"/>
            <w:insideH w:val="none" w:color="auto" w:sz="0" w:space="0"/>
            <w:insideV w:val="none" w:color="auto" w:sz="0" w:space="0"/>
          </w:tblBorders>
          <w:shd w:val="clear" w:color="auto" w:fill="F8FA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12A0E8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68E60A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“写一个关于微服务架构的教学脚本，时长2分钟”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70A6EA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内容过于学术化，充斥“服务注册与发现”、“配置中心”等术语，不适合初学者</w:t>
            </w:r>
          </w:p>
        </w:tc>
        <w:tc>
          <w:tcPr>
            <w:tcW w:w="2672" w:type="dxa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3F95EA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问题：不符合大一学生认知水平。改进：明确受众为大一新生，要求使用生活化类比。</w:t>
            </w:r>
          </w:p>
        </w:tc>
      </w:tr>
      <w:tr w14:paraId="1C8C7927">
        <w:tblPrEx>
          <w:tblBorders>
            <w:top w:val="single" w:color="C8D3DF" w:sz="2" w:space="0"/>
            <w:left w:val="single" w:color="C8D3DF" w:sz="2" w:space="0"/>
            <w:bottom w:val="single" w:color="E5E7EB" w:sz="4" w:space="0"/>
            <w:right w:val="single" w:color="C8D3DF" w:sz="2" w:space="0"/>
            <w:insideH w:val="none" w:color="auto" w:sz="0" w:space="0"/>
            <w:insideV w:val="none" w:color="auto" w:sz="0" w:space="0"/>
          </w:tblBorders>
          <w:shd w:val="clear" w:color="auto" w:fill="F8FA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3043EF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V2.0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06AEF2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“你是一名软件工程专业的大一助教，要给刚接触编程的同学讲微服务架构。用‘传统小卖部 vs 快递驿站’类比单体架构 vs 微服务架构。结构：引入问题、类比讲解、核心优势、总结。语言口语化。”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0F234A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脚本结构清晰，类比生动，但缺乏具体的分镜描述，无法直接指导图像生成</w:t>
            </w:r>
          </w:p>
        </w:tc>
        <w:tc>
          <w:tcPr>
            <w:tcW w:w="2672" w:type="dxa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685BB7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问题：只有台词，没有画面规划。改进：增加分镜要求，明确每个镜头的内容、时长和图像需求。</w:t>
            </w:r>
          </w:p>
        </w:tc>
      </w:tr>
      <w:tr w14:paraId="6C7188A9">
        <w:tblPrEx>
          <w:tblBorders>
            <w:top w:val="single" w:color="C8D3DF" w:sz="2" w:space="0"/>
            <w:left w:val="single" w:color="C8D3DF" w:sz="2" w:space="0"/>
            <w:bottom w:val="single" w:color="E5E7EB" w:sz="4" w:space="0"/>
            <w:right w:val="single" w:color="C8D3DF" w:sz="2" w:space="0"/>
            <w:insideH w:val="none" w:color="auto" w:sz="0" w:space="0"/>
            <w:insideV w:val="none" w:color="auto" w:sz="0" w:space="0"/>
          </w:tblBorders>
          <w:shd w:val="clear" w:color="auto" w:fill="F8FA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4035B2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V3.0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323B24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“基于上述脚本，生成详细的分镜头台本，包含镜头序号、时长、画面内容、台词、备注。画面内容要具体，明确标注需要生成的图像类型（如‘传统小卖部老板一人忙乱’、‘单体架构耦合箭头’）”</w:t>
            </w:r>
          </w:p>
        </w:tc>
        <w:tc>
          <w:tcPr>
            <w:tcW w:w="0" w:type="auto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228C93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得到完整的5段分镜（含片头片尾），每段图像类型明确，总时长2分30秒</w:t>
            </w:r>
          </w:p>
        </w:tc>
        <w:tc>
          <w:tcPr>
            <w:tcW w:w="2672" w:type="dxa"/>
            <w:tcBorders>
              <w:top w:val="single" w:color="C8D3DF" w:sz="2" w:space="0"/>
              <w:left w:val="single" w:color="C8D3DF" w:sz="2" w:space="0"/>
              <w:bottom w:val="single" w:color="C8D3DF" w:sz="2" w:space="0"/>
              <w:right w:val="single" w:color="C8D3DF" w:sz="2" w:space="0"/>
            </w:tcBorders>
            <w:shd w:val="clear" w:color="auto" w:fill="F8FAFC"/>
            <w:tcMar>
              <w:top w:w="140" w:type="dxa"/>
              <w:bottom w:w="140" w:type="dxa"/>
            </w:tcMar>
            <w:vAlign w:val="top"/>
          </w:tcPr>
          <w:p w14:paraId="23B773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问题：分镜中要求架构图包含文字标注，后续视频生成时文字出现错乱。改进：见下方“关键决策”中的动态调整。</w:t>
            </w:r>
          </w:p>
        </w:tc>
      </w:tr>
    </w:tbl>
    <w:p w14:paraId="61FEDB94">
      <w:pPr>
        <w:rPr/>
      </w:pPr>
      <w:r>
        <w:rPr>
          <w:rFonts w:hint="eastAsia"/>
          <w:lang w:val="en-US" w:eastAsia="zh-CN"/>
        </w:rPr>
        <w:t>二.</w:t>
      </w:r>
      <w:r>
        <w:rPr>
          <w:rFonts w:hint="default"/>
        </w:rPr>
        <w:t>关键决策</w:t>
      </w:r>
    </w:p>
    <w:p w14:paraId="3846D340">
      <w:pPr>
        <w:ind w:firstLine="420" w:firstLineChars="200"/>
        <w:rPr/>
      </w:pPr>
      <w:r>
        <w:rPr>
          <w:rFonts w:hint="default"/>
        </w:rPr>
        <w:t>放弃复杂术语，全部生活化类比 将“服务耦合”比作小卖部老板一人多职，将“独立部署”比作快递驿站分工，让零基础学生秒懂。</w:t>
      </w:r>
    </w:p>
    <w:p w14:paraId="23C33B1D">
      <w:pPr>
        <w:ind w:firstLine="420" w:firstLineChars="200"/>
        <w:rPr/>
      </w:pPr>
      <w:r>
        <w:rPr>
          <w:rFonts w:hint="default"/>
        </w:rPr>
        <w:t>分镜驱动图像生成 每个分镜明确写出“画面内容”，例如：“镜头3：单体架构示意图，一个大盒子里有四个分层，无文字，三层箭头依次变红”。这为后续即梦AI生成图片提供了精准输入。</w:t>
      </w:r>
    </w:p>
    <w:p w14:paraId="409EF21A">
      <w:pPr>
        <w:ind w:firstLine="420" w:firstLineChars="200"/>
        <w:rPr/>
      </w:pPr>
      <w:r>
        <w:rPr>
          <w:rFonts w:hint="default"/>
        </w:rPr>
        <w:t>视频测试反馈倒逼脚本调整 当发现可灵生成视频时第三、第四张架构图的文字发生扭曲后，我没有选择修改图像（因为图片本身文字清晰），而是反过来修改分镜脚本</w:t>
      </w:r>
      <w:r>
        <w:rPr>
          <w:rFonts w:hint="eastAsia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修改可灵的视频生成提示词，加入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文字保护指令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，并大幅降低运动幅度。</w:t>
      </w:r>
      <w:r>
        <w:rPr>
          <w:rFonts w:hint="default"/>
        </w:rPr>
        <w:t>这一决策既保证了画面干净无错乱，又保留了教学完整性，体现了生成式AI应用中的迭代优化思维。</w:t>
      </w:r>
    </w:p>
    <w:p w14:paraId="5E70EE36">
      <w:pPr>
        <w:rPr/>
      </w:pPr>
    </w:p>
    <w:p w14:paraId="773E592B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最终脚本核心内容（分镜摘要）</w:t>
      </w:r>
    </w:p>
    <w:p w14:paraId="70512C20">
      <w:pPr>
        <w:numPr>
          <w:numId w:val="0"/>
        </w:numPr>
        <w:rPr>
          <w:rFonts w:hint="default"/>
        </w:rPr>
      </w:pPr>
    </w:p>
    <w:p w14:paraId="7DDBED4B">
      <w:pPr>
        <w:rPr/>
      </w:pPr>
      <w:r>
        <w:rPr>
          <w:rFonts w:hint="eastAsia"/>
          <w:lang w:eastAsia="zh-CN"/>
        </w:rPr>
        <w:t>（</w:t>
      </w:r>
      <w:r>
        <w:rPr>
          <w:rFonts w:hint="default"/>
        </w:rPr>
        <w:t>一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、全局视觉规范（所有画面强制统一）</w:t>
      </w:r>
    </w:p>
    <w:p w14:paraId="3A4C8926">
      <w:pPr>
        <w:rPr>
          <w:rFonts w:hint="default"/>
        </w:rPr>
      </w:pPr>
    </w:p>
    <w:p w14:paraId="0E3824F0">
      <w:pPr>
        <w:ind w:firstLine="420" w:firstLineChars="200"/>
        <w:rPr>
          <w:rFonts w:hint="default"/>
        </w:rPr>
      </w:pPr>
      <w:r>
        <w:rPr>
          <w:rFonts w:hint="default"/>
        </w:rPr>
        <w:t>扁平化科技风矢量插画，纯白色背景，主色调为字节蓝#165DFF，强调色为橙色#FF7D00，辅助色为浅灰色#F5F7FA。线条简洁流畅，无渐变、无阴影、无3D效果、无纹理、无动态模糊、无闪烁。所有文字标注使用微软雅黑黑体，字号统一，颜色为深灰色#333333。画面居中构图，元素之间留有充足空白，整体干净整洁，适合教学演示。镜头绝对静止，无平移、缩放、旋转。帧率30fps，分辨率1920x1080，横向。禁止出现任何水印、多余文字、人物表情、装饰性图案、动态模糊、闪烁。</w:t>
      </w:r>
    </w:p>
    <w:p w14:paraId="63A2BB9F">
      <w:pPr>
        <w:rPr>
          <w:rFonts w:hint="default"/>
        </w:rPr>
      </w:pPr>
    </w:p>
    <w:p w14:paraId="5F33B3A7">
      <w:pPr>
        <w:rPr>
          <w:rFonts w:hint="default"/>
        </w:rPr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6C589">
      <w:pPr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default"/>
        </w:rPr>
        <w:t>二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、静态图片生成规范（DALL-E 3）</w:t>
      </w:r>
    </w:p>
    <w:p w14:paraId="628232F1">
      <w:pPr>
        <w:rPr>
          <w:rFonts w:hint="default"/>
        </w:rPr>
      </w:pPr>
    </w:p>
    <w:p w14:paraId="454CA608">
      <w:pPr>
        <w:rPr>
          <w:rFonts w:hint="default"/>
        </w:rPr>
      </w:pPr>
      <w:r>
        <w:rPr>
          <w:rFonts w:hint="default"/>
        </w:rPr>
        <w:t>图片1：传统小卖部（单体架构类比）</w:t>
      </w:r>
    </w:p>
    <w:p w14:paraId="5BE789E2">
      <w:pPr>
        <w:rPr>
          <w:rFonts w:hint="default"/>
        </w:rPr>
      </w:pPr>
    </w:p>
    <w:tbl>
      <w:tblPr>
        <w:tblW w:w="87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283"/>
      </w:tblGrid>
      <w:tr w14:paraId="2BECF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AA7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828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F34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187CC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6E63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使用场景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9497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分镜头1，时长0:00-0:25</w:t>
            </w:r>
          </w:p>
        </w:tc>
      </w:tr>
      <w:tr w14:paraId="2EB19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1430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完整提示词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F3FD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[全局统一前缀] 画面主体是一个狭窄的传统小卖部，整个店铺只有一个穿蓝色围裙的中年男性老板。老板站在唯一的收银台后面，同时做四件事：左手拿着扫码枪收银，右手在打包零食，嘴里在接电话回复顾客咨询，脚边还堆着没拆的进货纸箱。店铺内部杂乱无章：货架上堆满了各种零食、饮料、日用品，没有明确的分区。收银台旁边堆着快递包裹，墙上贴着各种手写的价签。画面底部用橙色#FF7D00的粗体字标注："传统小卖部 = 单体架构"。禁止出现其他顾客、多余的装饰、复杂的背景。</w:t>
            </w:r>
          </w:p>
        </w:tc>
      </w:tr>
      <w:tr w14:paraId="4063F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330E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关键特征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2ADB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狭窄、杂乱、一人多职、无明显分区</w:t>
            </w:r>
          </w:p>
        </w:tc>
      </w:tr>
      <w:tr w14:paraId="4F633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3AA7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底部标注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2DCD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传统小卖部 = 单体架构</w:t>
            </w:r>
          </w:p>
        </w:tc>
      </w:tr>
    </w:tbl>
    <w:p w14:paraId="61D5BF61">
      <w:pPr>
        <w:rPr>
          <w:rFonts w:hint="default"/>
        </w:rPr>
      </w:pPr>
    </w:p>
    <w:p w14:paraId="5D9F1856">
      <w:pPr>
        <w:rPr>
          <w:rFonts w:hint="default"/>
        </w:rPr>
      </w:pPr>
      <w:r>
        <w:rPr>
          <w:rFonts w:hint="default"/>
        </w:rPr>
        <w:t>图片2：现代化快递驿站（微服务架构类比）</w:t>
      </w:r>
    </w:p>
    <w:p w14:paraId="5D90FB1D">
      <w:pPr>
        <w:rPr>
          <w:rFonts w:hint="default"/>
        </w:rPr>
      </w:pPr>
    </w:p>
    <w:tbl>
      <w:tblPr>
        <w:tblW w:w="87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265"/>
      </w:tblGrid>
      <w:tr w14:paraId="752CD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0D59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826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E48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7FEE4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A85B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使用场景</w:t>
            </w:r>
          </w:p>
        </w:tc>
        <w:tc>
          <w:tcPr>
            <w:tcW w:w="826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A77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分镜头2，时长0:25-0:50</w:t>
            </w:r>
          </w:p>
        </w:tc>
      </w:tr>
      <w:tr w14:paraId="2B0D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8A35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完整提示词</w:t>
            </w:r>
          </w:p>
        </w:tc>
        <w:tc>
          <w:tcPr>
            <w:tcW w:w="826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0E4F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[全局统一前缀] 画面主体是一个宽敞明亮的现代化快递驿站，整体布局清晰，分为四个独立的功能区，每个功能区有一名穿蓝色马甲的工作人员，各司其职：1.左侧入口处：收件区，工作人员正在扫描顾客送来的快递。2.中间左侧：分拣区，工作人员正在将快递按区域分类放到货架上。3.中间右侧：派件区，工作人员正在将快递装进快递车。4.右侧出口处：客服区，工作人员正在电脑前处理顾客的问题。每个功能区都有清晰的橙色#FF7D00标识牌。货架整齐排列，快递分类摆放，整个场景井然有序。画面底部用橙色#FF7D00的粗体字标注："现代化快递驿站 = 微服务架构"。禁止出现多余的人物、杂乱的物品、复杂的装饰。</w:t>
            </w:r>
          </w:p>
        </w:tc>
      </w:tr>
      <w:tr w14:paraId="225F4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99F1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关键特征</w:t>
            </w:r>
          </w:p>
        </w:tc>
        <w:tc>
          <w:tcPr>
            <w:tcW w:w="826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1FD0A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宽敞明亮、四区划分、各司其职、标识清晰</w:t>
            </w:r>
          </w:p>
        </w:tc>
      </w:tr>
      <w:tr w14:paraId="2124C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005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底部标注</w:t>
            </w:r>
          </w:p>
        </w:tc>
        <w:tc>
          <w:tcPr>
            <w:tcW w:w="826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914B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现代化快递驿站 = 微服务架构</w:t>
            </w:r>
          </w:p>
        </w:tc>
      </w:tr>
    </w:tbl>
    <w:p w14:paraId="1500A857">
      <w:pPr>
        <w:rPr>
          <w:rFonts w:hint="default"/>
        </w:rPr>
      </w:pPr>
    </w:p>
    <w:p w14:paraId="777C335E">
      <w:pPr>
        <w:rPr>
          <w:rFonts w:hint="default"/>
        </w:rPr>
      </w:pPr>
      <w:r>
        <w:rPr>
          <w:rFonts w:hint="default"/>
        </w:rPr>
        <w:t>图片3：单体架构示意图</w:t>
      </w:r>
    </w:p>
    <w:p w14:paraId="7D7F06A7">
      <w:pPr>
        <w:rPr>
          <w:rFonts w:hint="default"/>
        </w:rPr>
      </w:pPr>
    </w:p>
    <w:tbl>
      <w:tblPr>
        <w:tblW w:w="87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283"/>
      </w:tblGrid>
      <w:tr w14:paraId="4A74B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EBC4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828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BC7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0E425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5EDF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使用场景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38CA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分镜头3，时长0:50-1:15</w:t>
            </w:r>
          </w:p>
        </w:tc>
      </w:tr>
      <w:tr w14:paraId="62C28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C04A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完整提示词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D10C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[全局统一前缀] 画面中心是一个巨大的蓝色#165DFF矩形盒子，代表单体应用。盒子内部用黑色细线平均分成四个大小相等的小矩形，从上到下依次是：用户界面层、业务逻辑层、数据访问层、数据库层。每个小矩形内部用深灰色#333333的微软雅黑字体标注对应的名称。用红色#FF4D4F的粗箭头从下往上连接四个层级，表示它们之间的强依赖关系：数据库层→数据访问层→业务逻辑层→用户界面层。在大盒子的左侧，画一个小人图标，用箭头指向"用户界面层"，表示用户访问。画面底部用橙色#FF7D00的粗体字标注："单体架构：所有功能打包在一个应用中"。禁止出现任何多余的元素、3D效果、阴影。箭头必须是直线，不能弯曲。</w:t>
            </w:r>
          </w:p>
        </w:tc>
      </w:tr>
      <w:tr w14:paraId="20139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100D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关键特征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D40F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一个大盒子、四层等分、红色依赖箭头（从下往上）、左侧小人</w:t>
            </w:r>
          </w:p>
        </w:tc>
      </w:tr>
      <w:tr w14:paraId="6ABF9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6D8B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底部标注</w:t>
            </w:r>
          </w:p>
        </w:tc>
        <w:tc>
          <w:tcPr>
            <w:tcW w:w="828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E803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单体架构：所有功能打包在一个应用中</w:t>
            </w:r>
          </w:p>
        </w:tc>
      </w:tr>
    </w:tbl>
    <w:p w14:paraId="3112612B">
      <w:pPr>
        <w:rPr>
          <w:rFonts w:hint="default"/>
        </w:rPr>
      </w:pPr>
    </w:p>
    <w:p w14:paraId="13FF1267">
      <w:pPr>
        <w:rPr>
          <w:rFonts w:hint="default"/>
        </w:rPr>
      </w:pPr>
      <w:r>
        <w:rPr>
          <w:rFonts w:hint="default"/>
        </w:rPr>
        <w:t>图片4：微服务架构示意图</w:t>
      </w:r>
    </w:p>
    <w:p w14:paraId="49203232">
      <w:pPr>
        <w:rPr>
          <w:rFonts w:hint="default"/>
        </w:rPr>
      </w:pPr>
    </w:p>
    <w:tbl>
      <w:tblPr>
        <w:tblW w:w="88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8301"/>
      </w:tblGrid>
      <w:tr w14:paraId="620E4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12CC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830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A64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5CB10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A005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使用场景</w:t>
            </w:r>
          </w:p>
        </w:tc>
        <w:tc>
          <w:tcPr>
            <w:tcW w:w="830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2025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分镜头4，时长1:15-1:40</w:t>
            </w:r>
          </w:p>
        </w:tc>
      </w:tr>
      <w:tr w14:paraId="3776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4888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完整提示词</w:t>
            </w:r>
          </w:p>
        </w:tc>
        <w:tc>
          <w:tcPr>
            <w:tcW w:w="830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1641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[全局统一前缀] 画面中心是一个API网关图标（蓝色#165DFF的矩形，上面写着"API网关"），位于画面最上方中间位置。API网关下方，水平排列四个大小完全相同的蓝色#165DFF小矩形盒子，代表四个独立的微服务，从左到右依次是：用户服务、订单服务、支付服务、库存服务。每个小矩形内部用深灰色#333333的微软雅黑字体标注对应的服务名称。用细的蓝色#165DFF箭头从API网关分别指向四个微服务，表示用户请求通过网关分发到不同的服务。用细的灰色#CCCCCC箭头在微服务之间连接：订单服务→用户服务，订单服务→支付服务，订单服务→库存服务，表示服务间的轻量调用。在API网关的左侧，画一个小人图标，用箭头指向API网关，表示用户访问。画面底部用橙色#FF7D00的粗体字标注："微服务架构：每个功能都是独立的服务"。禁止出现任何多余的元素、3D效果、阴影。所有箭头必须是直线，不能弯曲。</w:t>
            </w:r>
          </w:p>
        </w:tc>
      </w:tr>
      <w:tr w14:paraId="28E26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183C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关键特征</w:t>
            </w:r>
          </w:p>
        </w:tc>
        <w:tc>
          <w:tcPr>
            <w:tcW w:w="830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6F97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API网关（顶部居中）、四个微服务（水平排列）、蓝色分发箭头、灰色调用箭头</w:t>
            </w:r>
          </w:p>
        </w:tc>
      </w:tr>
      <w:tr w14:paraId="6386A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D56A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底部标注</w:t>
            </w:r>
          </w:p>
        </w:tc>
        <w:tc>
          <w:tcPr>
            <w:tcW w:w="8301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8B8B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微服务架构：每个功能都是独立的服务</w:t>
            </w:r>
          </w:p>
        </w:tc>
      </w:tr>
    </w:tbl>
    <w:p w14:paraId="4C86D70B">
      <w:pPr>
        <w:rPr>
          <w:rFonts w:hint="default"/>
        </w:rPr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54430">
      <w:pPr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default"/>
        </w:rPr>
        <w:t>三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、视频动画生成规范</w:t>
      </w:r>
    </w:p>
    <w:p w14:paraId="2B55CF5B">
      <w:pPr>
        <w:rPr>
          <w:rFonts w:hint="default"/>
        </w:rPr>
      </w:pPr>
    </w:p>
    <w:p w14:paraId="5A6CBC94">
      <w:pPr>
        <w:rPr>
          <w:rFonts w:hint="default"/>
        </w:rPr>
      </w:pPr>
      <w:r>
        <w:rPr>
          <w:rFonts w:hint="default"/>
        </w:rPr>
        <w:t>第一段：传统小卖部（图1）—— 时长5秒</w:t>
      </w:r>
    </w:p>
    <w:p w14:paraId="0B3E50CD">
      <w:pPr>
        <w:rPr>
          <w:rFonts w:hint="default"/>
        </w:rPr>
      </w:pPr>
    </w:p>
    <w:tbl>
      <w:tblPr>
        <w:tblW w:w="8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7484"/>
      </w:tblGrid>
      <w:tr w14:paraId="5C2C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8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BFF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48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0BB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4E048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698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完整台词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E02E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[这是一个传统小卖部，老板一个人要同时收银、打包、接电话，忙得不可开交]</w:t>
            </w:r>
          </w:p>
        </w:tc>
      </w:tr>
      <w:tr w14:paraId="51FDF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7AD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画面内容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0F36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与参考图完全一致的传统小卖部，一个老板站在收银台后</w:t>
            </w:r>
          </w:p>
        </w:tc>
      </w:tr>
      <w:tr w14:paraId="0F465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3F88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精确时间轴动作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0B1F7B">
            <w:pPr>
              <w:rPr>
                <w:rFonts w:hint="default"/>
              </w:rPr>
            </w:pPr>
          </w:p>
        </w:tc>
      </w:tr>
      <w:tr w14:paraId="43D9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2AEA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0.0-0.5秒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9D20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画面静止（对应台词“这是一个传统小卖部”）</w:t>
            </w:r>
          </w:p>
        </w:tc>
      </w:tr>
      <w:tr w14:paraId="2FC42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A450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0.5-1.5秒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2E1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老板左手匀速抬起扫码枪完成一次扫码（对应台词“收银”）</w:t>
            </w:r>
          </w:p>
        </w:tc>
      </w:tr>
      <w:tr w14:paraId="1B31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33F0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1.5-2.5秒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49D7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右手匀速拿起物品完成一次打包（对应台词“打包”）</w:t>
            </w:r>
          </w:p>
        </w:tc>
      </w:tr>
      <w:tr w14:paraId="042A7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2474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2.5-3.5秒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4D06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头部匀速左右转动一次，模拟接电话（对应台词“接电话”）</w:t>
            </w:r>
          </w:p>
        </w:tc>
      </w:tr>
      <w:tr w14:paraId="31D53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ABA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3.5-5.0秒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3AB3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老板保持静止，但表情略显忙碌（动作静止但状态延续）</w:t>
            </w:r>
          </w:p>
        </w:tc>
      </w:tr>
      <w:tr w14:paraId="527F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ED6C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禁止项</w:t>
            </w:r>
          </w:p>
        </w:tc>
        <w:tc>
          <w:tcPr>
            <w:tcW w:w="748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317B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老板身体移动、物品位置变化、出现顾客</w:t>
            </w:r>
          </w:p>
        </w:tc>
      </w:tr>
    </w:tbl>
    <w:p w14:paraId="7084564F">
      <w:pPr>
        <w:rPr>
          <w:rFonts w:hint="default"/>
        </w:rPr>
      </w:pPr>
    </w:p>
    <w:p w14:paraId="05C5EE52">
      <w:pPr>
        <w:rPr>
          <w:rFonts w:hint="default"/>
        </w:rPr>
      </w:pPr>
      <w:r>
        <w:rPr>
          <w:rFonts w:hint="default"/>
        </w:rPr>
        <w:t>第二段：现代化快递驿站（图2）—— 时长5秒</w:t>
      </w:r>
    </w:p>
    <w:tbl>
      <w:tblPr>
        <w:tblW w:w="8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7487"/>
      </w:tblGrid>
      <w:tr w14:paraId="1900B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5DA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48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2B3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5FFFD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6D1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完整台词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3C63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[而现代化快递驿站里，每个人分工明确：收件、分拣、派件、客服各司其职]</w:t>
            </w:r>
          </w:p>
        </w:tc>
      </w:tr>
      <w:tr w14:paraId="52E74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0C7E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画面内容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A9C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与参考图完全一致的现代化快递驿站，四个功能区各一名工作人员</w:t>
            </w:r>
          </w:p>
        </w:tc>
      </w:tr>
      <w:tr w14:paraId="2A16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BC45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精确时间轴动作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FBE639">
            <w:pPr>
              <w:rPr>
                <w:rFonts w:hint="default"/>
              </w:rPr>
            </w:pPr>
          </w:p>
        </w:tc>
      </w:tr>
      <w:tr w14:paraId="44C85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C125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0.0-0.8秒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3DEF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画面静止，展示全景（对应台词“而现代化快递驿站里，每个人分工明确”）</w:t>
            </w:r>
          </w:p>
        </w:tc>
      </w:tr>
      <w:tr w14:paraId="75F2B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8440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0.8-1.8秒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B394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收件区人员右手匀速扫码一次（对应台词“收件”）</w:t>
            </w:r>
          </w:p>
        </w:tc>
      </w:tr>
      <w:tr w14:paraId="7F83A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5CE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1.8-2.6秒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7673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分拣区人员右手匀速拿起快递放到货架（对应台词“分拣”）</w:t>
            </w:r>
          </w:p>
        </w:tc>
      </w:tr>
      <w:tr w14:paraId="5ACD6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A3B7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2.6-3.4秒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56E9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派件区人员双手匀速将快递搬进快递车（对应台词“派件”）</w:t>
            </w:r>
          </w:p>
        </w:tc>
      </w:tr>
      <w:tr w14:paraId="0B4AD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CE84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3.4-4.2秒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C08B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客服区人员手指匀速敲击键盘3次（对应台词“客服”）</w:t>
            </w:r>
          </w:p>
        </w:tc>
      </w:tr>
      <w:tr w14:paraId="00953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BCB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4.2-5.0秒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C521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所有人员保持静止，展示有序场景（对应台词“各司其职”）</w:t>
            </w:r>
          </w:p>
        </w:tc>
      </w:tr>
      <w:tr w14:paraId="6C028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1EA2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禁止项</w:t>
            </w:r>
          </w:p>
        </w:tc>
        <w:tc>
          <w:tcPr>
            <w:tcW w:w="748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E062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人员走动、快递车移动、快递掉落</w:t>
            </w:r>
          </w:p>
        </w:tc>
      </w:tr>
    </w:tbl>
    <w:p w14:paraId="6AA860C6">
      <w:pPr>
        <w:rPr>
          <w:rFonts w:hint="default"/>
        </w:rPr>
      </w:pPr>
    </w:p>
    <w:p w14:paraId="1225DB70">
      <w:pPr>
        <w:rPr>
          <w:rFonts w:hint="default"/>
        </w:rPr>
      </w:pPr>
      <w:r>
        <w:rPr>
          <w:rFonts w:hint="default"/>
        </w:rPr>
        <w:t>第三段：单体架构示意图（图3）—— 时长5秒</w:t>
      </w:r>
    </w:p>
    <w:p w14:paraId="22AB5B99">
      <w:pPr>
        <w:rPr>
          <w:rFonts w:hint="default"/>
        </w:rPr>
      </w:pPr>
    </w:p>
    <w:tbl>
      <w:tblPr>
        <w:tblW w:w="8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8"/>
        <w:gridCol w:w="7742"/>
      </w:tblGrid>
      <w:tr w14:paraId="3CE1B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9970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742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397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13484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A70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完整台词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3EA2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[单体架构就像这个大盒子，所有模块紧紧耦合在一起，改动一处可能影响全部]</w:t>
            </w:r>
          </w:p>
        </w:tc>
      </w:tr>
      <w:tr w14:paraId="567AB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E3B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画面内容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8262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与参考图完全一致的单体架构示意图，蓝色大矩形、四个分层。箭头初始为半透明灰色。</w:t>
            </w:r>
          </w:p>
        </w:tc>
      </w:tr>
      <w:tr w14:paraId="4D963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80CD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文字保护强制指令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7F4A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参考图中的所有文字（中文及英文）必须保持与原始图片完全一致：无扭曲、无乱码、无重影、无模糊、无笔画变形。文字区域禁止任何形变、移动、缩放或闪烁。</w:t>
            </w:r>
          </w:p>
        </w:tc>
      </w:tr>
      <w:tr w14:paraId="45F0C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DBCD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精确时间轴动作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060840">
            <w:pPr>
              <w:rPr>
                <w:rFonts w:hint="default"/>
              </w:rPr>
            </w:pPr>
          </w:p>
        </w:tc>
      </w:tr>
      <w:tr w14:paraId="13539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3193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0.0-1.0秒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FAD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画面静止（对应台词“单体架构就像这个大盒子”）</w:t>
            </w:r>
          </w:p>
        </w:tc>
      </w:tr>
      <w:tr w14:paraId="6268D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4E91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1.0-2.0秒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5088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最下方箭头（数据库→数据访问）匀速变为红色#FF4D4F，其他区域静止（对应台词“所有模块紧紧耦合在一起”）</w:t>
            </w:r>
          </w:p>
        </w:tc>
      </w:tr>
      <w:tr w14:paraId="6BF63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C38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2.0-3.0秒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C866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中间箭头（数据访问→业务逻辑）匀速变为红色</w:t>
            </w:r>
          </w:p>
        </w:tc>
      </w:tr>
      <w:tr w14:paraId="7E2E3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9785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3.0-4.0秒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98D3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最上方箭头（业务逻辑→用户界面）匀速变为红色（对应台词“改动一处可能影响全部”）</w:t>
            </w:r>
          </w:p>
        </w:tc>
      </w:tr>
      <w:tr w14:paraId="002B2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EDF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4.0-5.0秒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8DDB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所有红色箭头保持点亮，文字区域始终无任何变化</w:t>
            </w:r>
          </w:p>
        </w:tc>
      </w:tr>
      <w:tr w14:paraId="1971E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4815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禁止项</w:t>
            </w:r>
          </w:p>
        </w:tc>
        <w:tc>
          <w:tcPr>
            <w:tcW w:w="774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A516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矩形移动、文字闪烁、箭头弯曲、文字区域有任何像素变化</w:t>
            </w:r>
          </w:p>
        </w:tc>
      </w:tr>
    </w:tbl>
    <w:p w14:paraId="668A35B3">
      <w:pPr>
        <w:rPr>
          <w:rFonts w:hint="default"/>
        </w:rPr>
      </w:pPr>
    </w:p>
    <w:p w14:paraId="1EA142A8">
      <w:pPr>
        <w:rPr>
          <w:rFonts w:hint="default"/>
        </w:rPr>
      </w:pPr>
      <w:r>
        <w:rPr>
          <w:rFonts w:hint="default"/>
        </w:rPr>
        <w:t>第四段：微服务架构示意图（图4）—— 时长5秒</w:t>
      </w:r>
    </w:p>
    <w:p w14:paraId="3C936E1C">
      <w:pPr>
        <w:rPr>
          <w:rFonts w:hint="default"/>
        </w:rPr>
      </w:pPr>
    </w:p>
    <w:tbl>
      <w:tblPr>
        <w:tblW w:w="8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7"/>
        <w:gridCol w:w="7743"/>
      </w:tblGrid>
      <w:tr w14:paraId="40CA3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DEE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774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07E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3D642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46CF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完整台词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3ABA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[微服务架构则把每个功能拆成独立的小盒子，通过API网关统一调用，互不干扰]</w:t>
            </w:r>
          </w:p>
        </w:tc>
      </w:tr>
      <w:tr w14:paraId="7FDEC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4F6C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画面内容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128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与参考图完全一致的微服务架构示意图，API网关、四个微服务。箭头初始为半透明灰色。</w:t>
            </w:r>
          </w:p>
        </w:tc>
      </w:tr>
      <w:tr w14:paraId="5B714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A31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文字保护强制指令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BEAF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参考图中的所有文字（中文及英文）必须保持与原始图片完全一致：无扭曲、无乱码、无重影、无模糊、无笔画变形。文字区域禁止任何形变、移动、缩放或闪烁。</w:t>
            </w:r>
          </w:p>
        </w:tc>
      </w:tr>
      <w:tr w14:paraId="263BB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38AB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精确时间轴动作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339BA">
            <w:pPr>
              <w:rPr>
                <w:rFonts w:hint="default"/>
              </w:rPr>
            </w:pPr>
          </w:p>
        </w:tc>
      </w:tr>
      <w:tr w14:paraId="537D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ED11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0.0-1.0秒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A1EA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画面静止（对应台词“微服务架构则把每个功能拆成独立的小盒子”）</w:t>
            </w:r>
          </w:p>
        </w:tc>
      </w:tr>
      <w:tr w14:paraId="1A9D4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4CCE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1.0-2.5秒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2D1E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API网关指向四个微服务的所有箭头，同时匀速变为蓝色#165DFF，文字区域完全静止（对应台词“通过API网关统一调用”）</w:t>
            </w:r>
          </w:p>
        </w:tc>
      </w:tr>
      <w:tr w14:paraId="7E7A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BAFD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2.5-4.0秒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0DE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订单服务指向其他服务的所有箭头，同时匀速变为灰色#CCCCCC（对应台词“互不干扰”）</w:t>
            </w:r>
          </w:p>
        </w:tc>
      </w:tr>
      <w:tr w14:paraId="247B0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3038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4.0-5.0秒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D019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所有箭头保持点亮，文字区域无任何变化</w:t>
            </w:r>
          </w:p>
        </w:tc>
      </w:tr>
      <w:tr w14:paraId="327FB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61F6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禁止项</w:t>
            </w:r>
          </w:p>
        </w:tc>
        <w:tc>
          <w:tcPr>
            <w:tcW w:w="774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E7ED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矩形移动、文字闪烁、箭头弯曲、文字区域有任何像素变化</w:t>
            </w:r>
          </w:p>
        </w:tc>
      </w:tr>
    </w:tbl>
    <w:p w14:paraId="77E383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8A4E9"/>
    <w:multiLevelType w:val="singleLevel"/>
    <w:tmpl w:val="28E8A4E9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C71E8"/>
    <w:rsid w:val="50AC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2026-05-28T12:42:00Z</dcterms:created>
  <dc:creator>鲍建华</dc:creator>
  <cp:lastModifiedBy>鲍建华</cp:lastModifiedBy>
  <dcterms:modified xsi:type="dcterms:W3CDTF">2026-05-28T13:11:13Z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7365F510434F4B9E9954FE9065B6F41E_11</vt:lpwstr>
  </property>
  <property fmtid="{D5CDD505-2E9C-101B-9397-08002B2CF9AE}" pid="4" name="KSOTemplateDocerSaveRecord">
    <vt:lpwstr>eyJoZGlkIjoiMzM3ZWYzZDhlYzljYjFhYjIzNDUzZjAxYTBmZDU0ZDciLCJ1c2VySWQiOiI0MzcyMzM0ODAifQ==</vt:lpwstr>
  </property>
</Properties>
</file>