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Global Pharmacy Sales 2020-2025</w:t>
      </w:r>
    </w:p>
    <w:p>
      <w:pPr>
        <w:pBdr>
          <w:bottom w:val="single" w:color="1F3A5F" w:sz="8" w:space="4"/>
        </w:pBd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Analysis insights, data quality notes and recommended actions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Executive summary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dataset holds 175,360 clean daily sales records (after removing 2,630 exact duplicates) totalling 78.5 M units and 4,127.7 M in revenue (revenue = units x unit price; the file states no currency). Five findings matter most: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Demand has been flat at a lower baseline since 2022. </w:t>
      </w:r>
      <w:r>
        <w:rPr>
          <w:rFonts w:ascii="Calibri" w:cs="Calibri" w:eastAsia="Calibri" w:hAnsi="Calibri"/>
          <w:sz w:val="21"/>
          <w:szCs w:val="21"/>
        </w:rPr>
        <w:t xml:space="preserve">Revenue fell 38.3% from 919.5 M (2021) to 567.0 M (2022) when the COVID flag ended, and has stayed within 567-575 M since. The 2022-2025 change is +0.4%.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Sales are strongly seasonal. </w:t>
      </w:r>
      <w:r>
        <w:rPr>
          <w:rFonts w:ascii="Calibri" w:cs="Calibri" w:eastAsia="Calibri" w:hAnsi="Calibri"/>
          <w:sz w:val="21"/>
          <w:szCs w:val="21"/>
        </w:rPr>
        <w:t xml:space="preserve">In 2022-25, March sells 2.07x the units per record of September, and December-March generates 40.0% of revenue against 24.3% for July-October.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Stock is thinnest when demand peaks. </w:t>
      </w:r>
      <w:r>
        <w:rPr>
          <w:rFonts w:ascii="Calibri" w:cs="Calibri" w:eastAsia="Calibri" w:hAnsi="Calibri"/>
          <w:sz w:val="21"/>
          <w:szCs w:val="21"/>
        </w:rPr>
        <w:t xml:space="preserve">Average stock is lowest in March-April and highest in September, and records where units sold exceeded stock cluster in March-April (71 and 81) versus 3-7 in August-October.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2020-21 surge exposed supply gaps. </w:t>
      </w:r>
      <w:r>
        <w:rPr>
          <w:rFonts w:ascii="Calibri" w:cs="Calibri" w:eastAsia="Calibri" w:hAnsi="Calibri"/>
          <w:sz w:val="21"/>
          <w:szCs w:val="21"/>
        </w:rPr>
        <w:t xml:space="preserve">121 of the 128 zero-stock records occurred in the COVID period, when median stock cover was 8.4 versus 14.0 afterwards.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Product, region and age mix are not levers. </w:t>
      </w:r>
      <w:r>
        <w:rPr>
          <w:rFonts w:ascii="Calibri" w:cs="Calibri" w:eastAsia="Calibri" w:hAnsi="Calibri"/>
          <w:sz w:val="21"/>
          <w:szCs w:val="21"/>
        </w:rPr>
        <w:t xml:space="preserve">Every region, category, medicine and age group sits within roughly 2.5% of an equal share, and country rankings are driven by record counts, not performance.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actions: </w:t>
      </w:r>
      <w:r>
        <w:rPr>
          <w:rFonts w:ascii="Calibri" w:cs="Calibri" w:eastAsia="Calibri" w:hAnsi="Calibri"/>
          <w:sz w:val="21"/>
          <w:szCs w:val="21"/>
        </w:rPr>
        <w:t xml:space="preserve">(1) budget on the ~570 M baseline, (2) build stock ahead of January-April using a cover trigger, (3) write a surge playbook from the 2020-21 stock-outs, (4) validate record coverage, pricing and stock data with the data owner before country or pricing decisions.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Scope, approach and assumptions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requirements file (req.docx) was not received, so this work covers a standard sales-performance scope: KPI dashboard, trend and seasonality, geography, product and age mix, COVID impact, and inventory and expiry. Each choice below was made by me and not specified by you; please confirm or correct them.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 or decision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Revenue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Derived as units_sold x unit_price per record; no revenue, cost or margin field exists. Currency is not stated, so figures are in currency units and no profitability analysis is possible.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Duplicates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2,630 exact duplicate rows (the same date, country, medicine and age group repeated) were removed; none remain after removal on that four-field key.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Outliers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661 records above 3,000 units (0.38% of records, 3.5% of units) were kept; they cluster in 2020-21 and look like genuine surge sales. The dashboard reports them separately.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COVID period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covid_flag is 1 for every record from 2020-01-01 to 2021-12-31 and 0 afterwards, so I treat it as a period label, not a measured infection indicator.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Stock cover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Stock level divided by units sold in the same record. It is a ratio, not calendar days of supply. Low cover means below 5x.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Near-expiry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Records with 90 days or fewer to expiry.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Averages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Because records are not evenly spread across countries, comparisons use average units or revenue per record alongside totals.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 groups</w:t>
            </w:r>
          </w:p>
        </w:tc>
        <w:tc>
          <w:tcPr>
            <w:tcW w:type="dxa" w:w="73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Bands 46-65 and 65+ overlap at 65 in the source; used as provided.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Key findings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Demand stepped down 38% in 2022 and has not recovered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Revenue was 922.8 M in 2020 and 919.5 M in 2021, then 567.0 M, 575.2 M, 574.0 M and 569.3 M in 2022-2025. Average units per record fell from 597.8 in the COVID period to 372.8 afterwards (the COVID uplift was +60.3%). Average unit price barely moved (52.25-52.80 by year), so the change is volume.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1819275"/>
            <wp:effectExtent t="0" r="0" b="0" l="0"/>
            <wp:docPr id="1" name="Figure 1. Revenue by year (supports Page 1: P1-V2 and P1-K5; Page 2: P2-V4)" descr="Figure 1. Revenue by year (supports Page 1: P1-V2 and P1-K5; Page 2: P2-V4)" title="Figure 1. Revenue by year (supports Page 1: P1-V2 and P1-K5; Page 2: P2-V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Revenue by year (supports Page 1: P1-V2 and P1-K5; Page 2: P2-V4)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The 2020-21 level is not a baseline to plan against. Since 2022 there has been no organic growth: year-on-year moves are between -0.8% and +1.4%.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Set targets and capacity on the ~570 M run rate, and identify growth levers outside the current mix.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Evidence. </w:t>
      </w:r>
      <w:r>
        <w:rPr>
          <w:rFonts w:ascii="Calibri" w:cs="Calibri" w:eastAsia="Calibri" w:hAnsi="Calibri"/>
          <w:sz w:val="21"/>
          <w:szCs w:val="21"/>
        </w:rPr>
        <w:t xml:space="preserve">P1-K5, P1-K6, P2-V4, P5-K1 to K3.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Strong seasonality: December to April is the demand season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In 2022-25 average units per record peak at 503.6 in March and bottom at 243.5 in September, a ratio of 2.07x. December-March accounts for 40.0% of revenue versus 24.3% for July-October (both four-month windows). The same shape appears in 2020-21 at a higher level.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1819275"/>
            <wp:effectExtent t="0" r="0" b="0" l="0"/>
            <wp:docPr id="1" name="Figure 2. Average units per record by month (supports P1-V4, P2-V2, P2-V5)" descr="Figure 2. Average units per record by month (supports P1-V4, P2-V2, P2-V5)" title="Figure 2. Average units per record by month (supports P1-V4, P2-V2, P2-V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Average units per record by month (supports P1-V4, P2-V2, P2-V5)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Revenue is concentrated in a few months, so a delay or stock gap in Q1 costs far more than the same problem in Q3.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Plan staffing, promotions and replenishment around December-April, and use the Seasonality Index (P2-V5) as the planning calendar.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Stock is lowest exactly when demand peaks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Post-COVID, average stock falls from 4,757 in September to 4,499 in March, while units per record rise from 244 to 504. Units and stock are strongly negatively correlated (-0.91 in 2022-25, -0.95 in 2020-21). Records where units sold exceeded stock number 71 in March and 81 in April, against 7, 7 and 3 in August-October. Across all years, 967 records (0.55%) were oversold.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1819275"/>
            <wp:effectExtent t="0" r="0" b="0" l="0"/>
            <wp:docPr id="1" name="Figure 3. Post-COVID demand versus average stock (supports P6-V1 and P6-V2)" descr="Figure 3. Post-COVID demand versus average stock (supports P6-V1 and P6-V2)" title="Figure 3. Post-COVID demand versus average stock (supports P6-V1 and P6-V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3. Post-COVID demand versus average stock (supports P6-V1 and P6-V2)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Replenishment does not appear to anticipate the seasonal peak, which puts the highest-revenue months at the greatest stock risk.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Raise stock targets from November and trigger reorders when stock cover falls below 5x. Caveat: a correlation this tight looks partly mechanical, so confirm how stock_level is recorded before sizing the change (see data quality).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The 2020-21 surge exposed supply gaps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The COVID period contains 121 of the 128 zero-stock records and 538 oversold records (0.92% of its records) versus 429 afterwards (0.37%). Low-cover records (below 5x) were 13.0% of records versus 1.4% afterwards, and median stock cover was 8.4 versus 14.0. High-volume records (above 3,000 units) numbered 423 versus 238 and made up 5.4% of units versus 2.0%.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When demand jumped 60%, stock did not keep pace. Another shock of that scale would hit the same way.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Write a surge playbook: a safety-stock rule tied to cover, a watch-list for records above 3,000 units, and pre-agreed emergency sourcing.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Evidence. </w:t>
      </w:r>
      <w:r>
        <w:rPr>
          <w:rFonts w:ascii="Calibri" w:cs="Calibri" w:eastAsia="Calibri" w:hAnsi="Calibri"/>
          <w:sz w:val="21"/>
          <w:szCs w:val="21"/>
        </w:rPr>
        <w:t xml:space="preserve">P5-K1 to K6, P5-V5, P6-K3 to K5, P6-V2.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Mix is balanced, so it is not where the opportunity is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Revenue shares sit in narrow bands: regions 12.4-12.6%, categories 19.9-20.1%, medicines 9.9-10.1%, age groups 19.8-20.3%. The largest gap between best and worst is 2.5% (age groups) and 2.1% (medicines). The COVID uplift is also uniform: every category rose 59-62%, and every region 59-63%.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No product, region or age group is under-performing enough to justify reallocation, and no single product creates concentration risk.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Focus on timing (finding 2) and stock (findings 3-4) instead of mix shifts. Evidence: P1-V3, P3-V1, P4-V1 to V5.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Country totals reflect record coverage, not performance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Ten countries have about 10,750-11,200 records each and nine have about 7,150-7,450. Brazil leads on revenue (264.0 M, 6.4%) and India is last (167.0 M, 4.0%), yet revenue per record differs by only 2.9% across all 19 countries (23,192 to 23,869; Brazil 23,653, India 23,289).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Ranking countries on total revenue would wrongly penalise the nine lower-coverage countries.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Compare countries on revenue per record (P3-V3, not P3-V2) and ask the data owner whether the nine countries have partial coverage.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 Price is flat and unrelated to volume; expiry risk is structural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Finding. </w:t>
      </w:r>
      <w:r>
        <w:rPr>
          <w:rFonts w:ascii="Calibri" w:cs="Calibri" w:eastAsia="Calibri" w:hAnsi="Calibri"/>
          <w:sz w:val="21"/>
          <w:szCs w:val="21"/>
        </w:rPr>
        <w:t xml:space="preserve">Weighted average price is 52.56. Price and units are uncorrelated (r = 0.0003), and every medicine spans the full 5-100 range with a mean of 51.9-52.9. Separately, 15,834 records (9.0%) have 90 days or fewer to expiry, carrying 371.6 M of revenue (9.0%). The share is 9.0% in both periods and is spread evenly across categories (3,129-3,204 records each).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 what. </w:t>
      </w:r>
      <w:r>
        <w:rPr>
          <w:rFonts w:ascii="Calibri" w:cs="Calibri" w:eastAsia="Calibri" w:hAnsi="Calibri"/>
          <w:sz w:val="21"/>
          <w:szCs w:val="21"/>
        </w:rPr>
        <w:t xml:space="preserve">There is no evidence on price sensitivity from this data, and near-expiry exposure is a standing issue, not a seasonal or category one.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Action. </w:t>
      </w:r>
      <w:r>
        <w:rPr>
          <w:rFonts w:ascii="Calibri" w:cs="Calibri" w:eastAsia="Calibri" w:hAnsi="Calibri"/>
          <w:sz w:val="21"/>
          <w:szCs w:val="21"/>
        </w:rPr>
        <w:t xml:space="preserve">Do not make pricing decisions from this field until validated. Apply a first-expiry-first-out rule across all categories and track Near-Expiry % (P1-K8, P6-V3).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Data quality issues and limitations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 and handling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Missing requirements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req.docx was not received; scope and definitions are my assumptions (above).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Duplicates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2,630 exact duplicates removed (1.5% of rows). Totals would otherwise be overstated by about 1.5%.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Partial coverage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day holds about 81 records out of 950 possible country x medicine x age combinations, so totals are sums of the records present, not complete market sales. Country record counts differ (7.2-11.2 k).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currency, cost or margin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Revenue is in unspecified units; profitability cannot be assessed.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Price field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medicine spans 5-100 with near-identical means, which is unusual for real pharmacy prices. Treat price insights with caution.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Stock field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Stock is near-perfectly inverse to units sold (r about -0.9). This may be an artefact of how it is recorded. Zero-stock rows (128) are kept as reported.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COVID flag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clean step on 1 Jan 2022, not a gradual wave; it cannot separate COVID effects from anything else that changed at the year boundary.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Outliers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661 records above 3,000 units kept; removing them would lower units by 3.5%.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 bands</w:t>
            </w:r>
          </w:p>
        </w:tc>
        <w:tc>
          <w:tcPr>
            <w:tcW w:type="dxa" w:w="7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46-65 and 65+ overlap at age 65.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Recommended actions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700"/>
        <w:gridCol w:w="2246"/>
      </w:tblGrid>
      <w:tr>
        <w:trPr>
          <w:tblHeader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Supporting visual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Budget and capacity on the ~570 M post-2022 baseline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Revenue flat within +/-1.4% since 2022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P1-V2, P2-V4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Build stock before Dec-Apr; reorder when cover falls below 5x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Peak months have the lowest stock and most oversold records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P6-V1, P6-V2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Write a surge playbook (safety stock, high-volume watch-list)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2020-21: 121 of 128 stock-outs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P5-V5, P6-K3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Validate coverage, price and stock fields with the data owner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Findings 3, 6 and 7 rest on fields with caveats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P3-V3, P7-V1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Apply first-expiry-first-out across all categories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9.0% of records near expiry in every category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P6-V3, P1-K8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 not reallocate by region, category or age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within ~2.5% of an equal share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P3-V1, P4-V1 to V5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Pharmacy Sales Insights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d20805eb4e8d4c7bb8eec74812fb28af3ec5d5b.png"/><Relationship Id="rId9" Type="http://schemas.openxmlformats.org/officeDocument/2006/relationships/image" Target="media/51fb7e4e069d51ceaebc5128f694fae58f7f2b3d.png"/><Relationship Id="rId10" Type="http://schemas.openxmlformats.org/officeDocument/2006/relationships/image" Target="media/8aec7882f378dead393f393db449bc6da41942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2026-10-11T10:11:45.938Z</dcterms:created>
  <dcterms:modified xsi:type="dcterms:W3CDTF">2026-10-11T10:11:45.938Z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