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C9A4" w14:textId="10FECB46" w:rsidR="00647876" w:rsidRPr="00EF3CF5" w:rsidRDefault="00EF3CF5" w:rsidP="00EF3CF5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</w:rPr>
      </w:pPr>
      <w:r w:rsidRPr="00EF3CF5">
        <w:rPr>
          <w:b/>
          <w:bCs/>
          <w:sz w:val="32"/>
          <w:szCs w:val="32"/>
          <w:u w:val="single"/>
        </w:rPr>
        <w:t>AUDIT DE DÉFENSE CONSTITUTIONNELLE</w:t>
      </w:r>
    </w:p>
    <w:p w14:paraId="281F697C" w14:textId="77777777" w:rsidR="00EF3CF5" w:rsidRDefault="00EF3CF5"/>
    <w:p w14:paraId="1C641E57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PRÉAMBULE</w:t>
      </w:r>
    </w:p>
    <w:p w14:paraId="47ECB6A3" w14:textId="77777777" w:rsidR="007836C1" w:rsidRPr="007836C1" w:rsidRDefault="007836C1" w:rsidP="007836C1">
      <w:r w:rsidRPr="007836C1">
        <w:t xml:space="preserve">Le présent Audit de défense constitutionnelle identifie, analyse et neutralise l’ensemble des </w:t>
      </w:r>
      <w:r w:rsidRPr="007836C1">
        <w:rPr>
          <w:b/>
          <w:bCs/>
        </w:rPr>
        <w:t>vecteurs d’attaque juridiques, institutionnels, politiques, économiques, médiatiques et internationaux</w:t>
      </w:r>
      <w:r w:rsidRPr="007836C1">
        <w:t xml:space="preserve"> susceptibles d’être dirigés contre le corpus constitutionnel du Québec.</w:t>
      </w:r>
    </w:p>
    <w:p w14:paraId="5F276C8C" w14:textId="77777777" w:rsidR="007836C1" w:rsidRPr="007836C1" w:rsidRDefault="007836C1" w:rsidP="007836C1">
      <w:r w:rsidRPr="007836C1">
        <w:t>Il établit que le cadre proposé :</w:t>
      </w:r>
    </w:p>
    <w:p w14:paraId="067C0ED4" w14:textId="77777777" w:rsidR="007836C1" w:rsidRPr="007836C1" w:rsidRDefault="007836C1" w:rsidP="007836C1">
      <w:pPr>
        <w:numPr>
          <w:ilvl w:val="0"/>
          <w:numId w:val="1"/>
        </w:numPr>
      </w:pPr>
      <w:proofErr w:type="gramStart"/>
      <w:r w:rsidRPr="007836C1">
        <w:t>respecte</w:t>
      </w:r>
      <w:proofErr w:type="gramEnd"/>
      <w:r w:rsidRPr="007836C1">
        <w:t xml:space="preserve"> l’État de droit ;</w:t>
      </w:r>
    </w:p>
    <w:p w14:paraId="605197EE" w14:textId="77777777" w:rsidR="007836C1" w:rsidRPr="007836C1" w:rsidRDefault="007836C1" w:rsidP="007836C1">
      <w:pPr>
        <w:numPr>
          <w:ilvl w:val="0"/>
          <w:numId w:val="1"/>
        </w:numPr>
      </w:pPr>
      <w:proofErr w:type="gramStart"/>
      <w:r w:rsidRPr="007836C1">
        <w:t>est</w:t>
      </w:r>
      <w:proofErr w:type="gramEnd"/>
      <w:r w:rsidRPr="007836C1">
        <w:t xml:space="preserve"> hiérarchisé et cohérent ;</w:t>
      </w:r>
    </w:p>
    <w:p w14:paraId="353E7927" w14:textId="77777777" w:rsidR="007836C1" w:rsidRPr="007836C1" w:rsidRDefault="007836C1" w:rsidP="007836C1">
      <w:pPr>
        <w:numPr>
          <w:ilvl w:val="0"/>
          <w:numId w:val="1"/>
        </w:numPr>
      </w:pPr>
      <w:proofErr w:type="gramStart"/>
      <w:r w:rsidRPr="007836C1">
        <w:t>est</w:t>
      </w:r>
      <w:proofErr w:type="gramEnd"/>
      <w:r w:rsidRPr="007836C1">
        <w:t xml:space="preserve"> opérationnel en conditions réelles de transition ;</w:t>
      </w:r>
    </w:p>
    <w:p w14:paraId="38BA9207" w14:textId="77777777" w:rsidR="007836C1" w:rsidRPr="007836C1" w:rsidRDefault="007836C1" w:rsidP="007836C1">
      <w:pPr>
        <w:numPr>
          <w:ilvl w:val="0"/>
          <w:numId w:val="1"/>
        </w:numPr>
      </w:pPr>
      <w:proofErr w:type="gramStart"/>
      <w:r w:rsidRPr="007836C1">
        <w:t>intègre</w:t>
      </w:r>
      <w:proofErr w:type="gramEnd"/>
      <w:r w:rsidRPr="007836C1">
        <w:t xml:space="preserve"> des mécanismes de défense internes suffisants et proportionnés.</w:t>
      </w:r>
    </w:p>
    <w:p w14:paraId="6880ED9C" w14:textId="77777777" w:rsidR="007836C1" w:rsidRPr="007836C1" w:rsidRDefault="007836C1" w:rsidP="007836C1">
      <w:r w:rsidRPr="007836C1">
        <w:pict w14:anchorId="3A95E83C">
          <v:rect id="_x0000_i1085" style="width:0;height:1.5pt" o:hralign="center" o:hrstd="t" o:hr="t" fillcolor="#a0a0a0" stroked="f"/>
        </w:pict>
      </w:r>
    </w:p>
    <w:p w14:paraId="3528560F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PARTIE I — CADRE DE L’AUDIT</w:t>
      </w:r>
    </w:p>
    <w:p w14:paraId="677A55DD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Article 1 — Portée</w:t>
      </w:r>
    </w:p>
    <w:p w14:paraId="5B3CE603" w14:textId="77777777" w:rsidR="007836C1" w:rsidRPr="007836C1" w:rsidRDefault="007836C1" w:rsidP="007836C1">
      <w:r w:rsidRPr="007836C1">
        <w:t>L’audit couvre :</w:t>
      </w:r>
    </w:p>
    <w:p w14:paraId="4A50DC0D" w14:textId="77777777" w:rsidR="007836C1" w:rsidRPr="007836C1" w:rsidRDefault="007836C1" w:rsidP="007836C1">
      <w:pPr>
        <w:numPr>
          <w:ilvl w:val="0"/>
          <w:numId w:val="2"/>
        </w:numPr>
      </w:pPr>
      <w:r w:rsidRPr="007836C1">
        <w:t>Constitution du Québec souverain</w:t>
      </w:r>
    </w:p>
    <w:p w14:paraId="1B16CC32" w14:textId="77777777" w:rsidR="007836C1" w:rsidRPr="007836C1" w:rsidRDefault="007836C1" w:rsidP="007836C1">
      <w:pPr>
        <w:numPr>
          <w:ilvl w:val="0"/>
          <w:numId w:val="2"/>
        </w:numPr>
      </w:pPr>
      <w:r w:rsidRPr="007836C1">
        <w:t>Lois organiques</w:t>
      </w:r>
    </w:p>
    <w:p w14:paraId="54A45C1A" w14:textId="77777777" w:rsidR="007836C1" w:rsidRPr="007836C1" w:rsidRDefault="007836C1" w:rsidP="007836C1">
      <w:pPr>
        <w:numPr>
          <w:ilvl w:val="0"/>
          <w:numId w:val="2"/>
        </w:numPr>
      </w:pPr>
      <w:r w:rsidRPr="007836C1">
        <w:t>Lois administratives</w:t>
      </w:r>
    </w:p>
    <w:p w14:paraId="406E254A" w14:textId="77777777" w:rsidR="007836C1" w:rsidRPr="007836C1" w:rsidRDefault="007836C1" w:rsidP="007836C1">
      <w:pPr>
        <w:numPr>
          <w:ilvl w:val="0"/>
          <w:numId w:val="2"/>
        </w:numPr>
      </w:pPr>
      <w:r w:rsidRPr="007836C1">
        <w:t>Lois ordinaires</w:t>
      </w:r>
    </w:p>
    <w:p w14:paraId="5C996B89" w14:textId="77777777" w:rsidR="007836C1" w:rsidRPr="007836C1" w:rsidRDefault="007836C1" w:rsidP="007836C1">
      <w:pPr>
        <w:numPr>
          <w:ilvl w:val="0"/>
          <w:numId w:val="2"/>
        </w:numPr>
      </w:pPr>
      <w:r w:rsidRPr="007836C1">
        <w:t>Règlements du Québec souverain</w:t>
      </w:r>
    </w:p>
    <w:p w14:paraId="04BF56F1" w14:textId="77777777" w:rsidR="007836C1" w:rsidRPr="007836C1" w:rsidRDefault="007836C1" w:rsidP="007836C1">
      <w:pPr>
        <w:numPr>
          <w:ilvl w:val="0"/>
          <w:numId w:val="2"/>
        </w:numPr>
      </w:pPr>
      <w:r w:rsidRPr="007836C1">
        <w:t>Doctrine fondatrice officielle</w:t>
      </w:r>
    </w:p>
    <w:p w14:paraId="3B770BCE" w14:textId="77777777" w:rsidR="007836C1" w:rsidRPr="007836C1" w:rsidRDefault="007836C1" w:rsidP="007836C1">
      <w:pPr>
        <w:numPr>
          <w:ilvl w:val="0"/>
          <w:numId w:val="2"/>
        </w:numPr>
      </w:pPr>
      <w:r w:rsidRPr="007836C1">
        <w:t>Outil de transition constitutionnelle (SCQ)</w:t>
      </w:r>
    </w:p>
    <w:p w14:paraId="610CB6C6" w14:textId="77777777" w:rsidR="007836C1" w:rsidRPr="007836C1" w:rsidRDefault="007836C1" w:rsidP="007836C1">
      <w:pPr>
        <w:numPr>
          <w:ilvl w:val="0"/>
          <w:numId w:val="2"/>
        </w:numPr>
      </w:pPr>
      <w:r w:rsidRPr="007836C1">
        <w:t>Volets I, II et III</w:t>
      </w:r>
    </w:p>
    <w:p w14:paraId="3FCCBB12" w14:textId="77777777" w:rsidR="007836C1" w:rsidRPr="007836C1" w:rsidRDefault="007836C1" w:rsidP="007836C1">
      <w:pPr>
        <w:numPr>
          <w:ilvl w:val="0"/>
          <w:numId w:val="2"/>
        </w:numPr>
      </w:pPr>
      <w:r w:rsidRPr="007836C1">
        <w:t>Registre des risques résiduels et correctifs</w:t>
      </w:r>
    </w:p>
    <w:p w14:paraId="2C318605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Article 2 — Méthodologie</w:t>
      </w:r>
    </w:p>
    <w:p w14:paraId="02EF378D" w14:textId="77777777" w:rsidR="007836C1" w:rsidRPr="007836C1" w:rsidRDefault="007836C1" w:rsidP="007836C1">
      <w:r w:rsidRPr="007836C1">
        <w:t>Analyse fondée sur :</w:t>
      </w:r>
    </w:p>
    <w:p w14:paraId="2E32C582" w14:textId="77777777" w:rsidR="007836C1" w:rsidRPr="007836C1" w:rsidRDefault="007836C1" w:rsidP="007836C1">
      <w:pPr>
        <w:numPr>
          <w:ilvl w:val="0"/>
          <w:numId w:val="3"/>
        </w:numPr>
      </w:pPr>
      <w:proofErr w:type="gramStart"/>
      <w:r w:rsidRPr="007836C1">
        <w:t>droit</w:t>
      </w:r>
      <w:proofErr w:type="gramEnd"/>
      <w:r w:rsidRPr="007836C1">
        <w:t xml:space="preserve"> constitutionnel comparé ;</w:t>
      </w:r>
    </w:p>
    <w:p w14:paraId="6CCFE94A" w14:textId="77777777" w:rsidR="007836C1" w:rsidRPr="007836C1" w:rsidRDefault="007836C1" w:rsidP="007836C1">
      <w:pPr>
        <w:numPr>
          <w:ilvl w:val="0"/>
          <w:numId w:val="3"/>
        </w:numPr>
      </w:pPr>
      <w:proofErr w:type="gramStart"/>
      <w:r w:rsidRPr="007836C1">
        <w:t>principes</w:t>
      </w:r>
      <w:proofErr w:type="gramEnd"/>
      <w:r w:rsidRPr="007836C1">
        <w:t xml:space="preserve"> généraux du droit public ;</w:t>
      </w:r>
    </w:p>
    <w:p w14:paraId="7F359D49" w14:textId="77777777" w:rsidR="007836C1" w:rsidRPr="007836C1" w:rsidRDefault="007836C1" w:rsidP="007836C1">
      <w:pPr>
        <w:numPr>
          <w:ilvl w:val="0"/>
          <w:numId w:val="3"/>
        </w:numPr>
      </w:pPr>
      <w:proofErr w:type="gramStart"/>
      <w:r w:rsidRPr="007836C1">
        <w:t>standards</w:t>
      </w:r>
      <w:proofErr w:type="gramEnd"/>
      <w:r w:rsidRPr="007836C1">
        <w:t xml:space="preserve"> internationaux de gouvernance ;</w:t>
      </w:r>
    </w:p>
    <w:p w14:paraId="46DFFED1" w14:textId="77777777" w:rsidR="007836C1" w:rsidRPr="007836C1" w:rsidRDefault="007836C1" w:rsidP="007836C1">
      <w:pPr>
        <w:numPr>
          <w:ilvl w:val="0"/>
          <w:numId w:val="3"/>
        </w:numPr>
      </w:pPr>
      <w:proofErr w:type="gramStart"/>
      <w:r w:rsidRPr="007836C1">
        <w:t>scénarios</w:t>
      </w:r>
      <w:proofErr w:type="gramEnd"/>
      <w:r w:rsidRPr="007836C1">
        <w:t xml:space="preserve"> réels observés (contentieux, pressions, transitions).</w:t>
      </w:r>
    </w:p>
    <w:p w14:paraId="1A3F772A" w14:textId="77777777" w:rsidR="007836C1" w:rsidRPr="007836C1" w:rsidRDefault="007836C1" w:rsidP="007836C1">
      <w:r w:rsidRPr="007836C1">
        <w:pict w14:anchorId="23FB0783">
          <v:rect id="_x0000_i1086" style="width:0;height:1.5pt" o:hralign="center" o:hrstd="t" o:hr="t" fillcolor="#a0a0a0" stroked="f"/>
        </w:pict>
      </w:r>
    </w:p>
    <w:p w14:paraId="0FCB3491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lastRenderedPageBreak/>
        <w:t>PARTIE II — ATTAQUES JURIDIQUES INTERNES</w:t>
      </w:r>
    </w:p>
    <w:p w14:paraId="01AC5BE5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Section 1 — Droits fondamentaux</w:t>
      </w:r>
    </w:p>
    <w:p w14:paraId="4C4E2307" w14:textId="77777777" w:rsidR="007836C1" w:rsidRPr="007836C1" w:rsidRDefault="007836C1" w:rsidP="007836C1">
      <w:r w:rsidRPr="007836C1">
        <w:rPr>
          <w:b/>
          <w:bCs/>
        </w:rPr>
        <w:t>Risque</w:t>
      </w:r>
      <w:r w:rsidRPr="007836C1">
        <w:t xml:space="preserve"> : allégations de violation des droits.</w:t>
      </w:r>
      <w:r w:rsidRPr="007836C1">
        <w:br/>
      </w:r>
      <w:r w:rsidRPr="007836C1">
        <w:rPr>
          <w:b/>
          <w:bCs/>
        </w:rPr>
        <w:t>Analyse</w:t>
      </w:r>
      <w:r w:rsidRPr="007836C1">
        <w:t xml:space="preserve"> : conditionnements légaux proportionnés ; garanties procédurales ; recours effectifs.</w:t>
      </w:r>
      <w:r w:rsidRPr="007836C1">
        <w:br/>
      </w:r>
      <w:r w:rsidRPr="007836C1">
        <w:rPr>
          <w:b/>
          <w:bCs/>
        </w:rPr>
        <w:t>Défense</w:t>
      </w:r>
      <w:r w:rsidRPr="007836C1">
        <w:t xml:space="preserve"> : contrôle constitutionnel permanent ; motivation obligatoire ; proportionnalité.</w:t>
      </w:r>
    </w:p>
    <w:p w14:paraId="6CA29E48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Section 2 — Droit de vote</w:t>
      </w:r>
    </w:p>
    <w:p w14:paraId="359F1FBA" w14:textId="77777777" w:rsidR="007836C1" w:rsidRPr="007836C1" w:rsidRDefault="007836C1" w:rsidP="007836C1">
      <w:r w:rsidRPr="007836C1">
        <w:rPr>
          <w:b/>
          <w:bCs/>
        </w:rPr>
        <w:t>Risque</w:t>
      </w:r>
      <w:r w:rsidRPr="007836C1">
        <w:t xml:space="preserve"> : contestations des exclusions.</w:t>
      </w:r>
      <w:r w:rsidRPr="007836C1">
        <w:br/>
      </w:r>
      <w:r w:rsidRPr="007836C1">
        <w:rPr>
          <w:b/>
          <w:bCs/>
        </w:rPr>
        <w:t>Analyse</w:t>
      </w:r>
      <w:r w:rsidRPr="007836C1">
        <w:t xml:space="preserve"> : exclusions limitées (crimes graves/incapacités avérées), décision judiciaire, réversibilité.</w:t>
      </w:r>
      <w:r w:rsidRPr="007836C1">
        <w:br/>
      </w:r>
      <w:r w:rsidRPr="007836C1">
        <w:rPr>
          <w:b/>
          <w:bCs/>
        </w:rPr>
        <w:t>Défense</w:t>
      </w:r>
      <w:r w:rsidRPr="007836C1">
        <w:t xml:space="preserve"> : loi organique dédiée ; révision périodique ; recours juridictionnels.</w:t>
      </w:r>
    </w:p>
    <w:p w14:paraId="3490E7E1" w14:textId="77777777" w:rsidR="007836C1" w:rsidRPr="007836C1" w:rsidRDefault="007836C1" w:rsidP="007836C1">
      <w:r w:rsidRPr="007836C1">
        <w:pict w14:anchorId="705BEB87">
          <v:rect id="_x0000_i1087" style="width:0;height:1.5pt" o:hralign="center" o:hrstd="t" o:hr="t" fillcolor="#a0a0a0" stroked="f"/>
        </w:pict>
      </w:r>
    </w:p>
    <w:p w14:paraId="361C7D41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PARTIE III — ATTAQUES INSTITUTIONNELLES</w:t>
      </w:r>
    </w:p>
    <w:p w14:paraId="7DFDEA45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Section 3 — Séparation des pouvoirs</w:t>
      </w:r>
    </w:p>
    <w:p w14:paraId="11115A19" w14:textId="77777777" w:rsidR="007836C1" w:rsidRPr="007836C1" w:rsidRDefault="007836C1" w:rsidP="007836C1">
      <w:r w:rsidRPr="007836C1">
        <w:rPr>
          <w:b/>
          <w:bCs/>
        </w:rPr>
        <w:t>Risque</w:t>
      </w:r>
      <w:r w:rsidRPr="007836C1">
        <w:t xml:space="preserve"> : concentration du pouvoir.</w:t>
      </w:r>
      <w:r w:rsidRPr="007836C1">
        <w:br/>
      </w:r>
      <w:r w:rsidRPr="007836C1">
        <w:rPr>
          <w:b/>
          <w:bCs/>
        </w:rPr>
        <w:t>Analyse</w:t>
      </w:r>
      <w:r w:rsidRPr="007836C1">
        <w:t xml:space="preserve"> : séparation stricte ; autorités indépendantes ; responsabilité personnelle.</w:t>
      </w:r>
      <w:r w:rsidRPr="007836C1">
        <w:br/>
      </w:r>
      <w:r w:rsidRPr="007836C1">
        <w:rPr>
          <w:b/>
          <w:bCs/>
        </w:rPr>
        <w:t>Défense</w:t>
      </w:r>
      <w:r w:rsidRPr="007836C1">
        <w:t xml:space="preserve"> : incompatibilités ; audits continus ; révocation.</w:t>
      </w:r>
    </w:p>
    <w:p w14:paraId="61BA1C77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Section 4 — Conseil des peuples fondateurs</w:t>
      </w:r>
    </w:p>
    <w:p w14:paraId="3BE2E197" w14:textId="77777777" w:rsidR="007836C1" w:rsidRPr="007836C1" w:rsidRDefault="007836C1" w:rsidP="007836C1">
      <w:r w:rsidRPr="007836C1">
        <w:rPr>
          <w:b/>
          <w:bCs/>
        </w:rPr>
        <w:t>Risque</w:t>
      </w:r>
      <w:r w:rsidRPr="007836C1">
        <w:t xml:space="preserve"> : atteinte à l’égalité civique.</w:t>
      </w:r>
      <w:r w:rsidRPr="007836C1">
        <w:br/>
      </w:r>
      <w:r w:rsidRPr="007836C1">
        <w:rPr>
          <w:b/>
          <w:bCs/>
        </w:rPr>
        <w:t>Analyse</w:t>
      </w:r>
      <w:r w:rsidRPr="007836C1">
        <w:t xml:space="preserve"> : avis conformes limités ; aucun pouvoir exécutif ; périmètre strict.</w:t>
      </w:r>
      <w:r w:rsidRPr="007836C1">
        <w:br/>
      </w:r>
      <w:r w:rsidRPr="007836C1">
        <w:rPr>
          <w:b/>
          <w:bCs/>
        </w:rPr>
        <w:t>Défense</w:t>
      </w:r>
      <w:r w:rsidRPr="007836C1">
        <w:t xml:space="preserve"> : encadrement constitutionnel ; transparence des avis.</w:t>
      </w:r>
    </w:p>
    <w:p w14:paraId="09F527F7" w14:textId="77777777" w:rsidR="007836C1" w:rsidRPr="007836C1" w:rsidRDefault="007836C1" w:rsidP="007836C1">
      <w:r w:rsidRPr="007836C1">
        <w:pict w14:anchorId="11678A10">
          <v:rect id="_x0000_i1088" style="width:0;height:1.5pt" o:hralign="center" o:hrstd="t" o:hr="t" fillcolor="#a0a0a0" stroked="f"/>
        </w:pict>
      </w:r>
    </w:p>
    <w:p w14:paraId="1D0AD47F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PARTIE IV — ATTAQUES ÉCONOMIQUES ET FINANCIÈRES</w:t>
      </w:r>
    </w:p>
    <w:p w14:paraId="4386D498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Section 5 — Fiscalité unique</w:t>
      </w:r>
    </w:p>
    <w:p w14:paraId="2696977F" w14:textId="77777777" w:rsidR="007836C1" w:rsidRPr="007836C1" w:rsidRDefault="007836C1" w:rsidP="007836C1">
      <w:r w:rsidRPr="007836C1">
        <w:rPr>
          <w:b/>
          <w:bCs/>
        </w:rPr>
        <w:t>Risque</w:t>
      </w:r>
      <w:r w:rsidRPr="007836C1">
        <w:t xml:space="preserve"> : choc économique.</w:t>
      </w:r>
      <w:r w:rsidRPr="007836C1">
        <w:br/>
      </w:r>
      <w:r w:rsidRPr="007836C1">
        <w:rPr>
          <w:b/>
          <w:bCs/>
        </w:rPr>
        <w:t>Analyse</w:t>
      </w:r>
      <w:r w:rsidRPr="007836C1">
        <w:t xml:space="preserve"> : activation en Phase III ; double traçabilité préalable ; fonds tampon.</w:t>
      </w:r>
      <w:r w:rsidRPr="007836C1">
        <w:br/>
      </w:r>
      <w:r w:rsidRPr="007836C1">
        <w:rPr>
          <w:b/>
          <w:bCs/>
        </w:rPr>
        <w:t>Défense</w:t>
      </w:r>
      <w:r w:rsidRPr="007836C1">
        <w:t xml:space="preserve"> : phase-in ; stabilisateurs ; audit indépendant.</w:t>
      </w:r>
    </w:p>
    <w:p w14:paraId="7A3EB987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Section 6 — Fin des monopoles non essentiels</w:t>
      </w:r>
    </w:p>
    <w:p w14:paraId="53605A71" w14:textId="77777777" w:rsidR="007836C1" w:rsidRPr="007836C1" w:rsidRDefault="007836C1" w:rsidP="007836C1">
      <w:r w:rsidRPr="007836C1">
        <w:rPr>
          <w:b/>
          <w:bCs/>
        </w:rPr>
        <w:t>Risque</w:t>
      </w:r>
      <w:r w:rsidRPr="007836C1">
        <w:t xml:space="preserve"> : instabilité des marchés.</w:t>
      </w:r>
      <w:r w:rsidRPr="007836C1">
        <w:br/>
      </w:r>
      <w:r w:rsidRPr="007836C1">
        <w:rPr>
          <w:b/>
          <w:bCs/>
        </w:rPr>
        <w:t>Analyse</w:t>
      </w:r>
      <w:r w:rsidRPr="007836C1">
        <w:t xml:space="preserve"> : périmètre non essentiel ; régulation concurrentielle.</w:t>
      </w:r>
      <w:r w:rsidRPr="007836C1">
        <w:br/>
      </w:r>
      <w:r w:rsidRPr="007836C1">
        <w:rPr>
          <w:b/>
          <w:bCs/>
        </w:rPr>
        <w:t>Défense</w:t>
      </w:r>
      <w:r w:rsidRPr="007836C1">
        <w:t xml:space="preserve"> : lois </w:t>
      </w:r>
      <w:proofErr w:type="spellStart"/>
      <w:r w:rsidRPr="007836C1">
        <w:t>anti-cartels</w:t>
      </w:r>
      <w:proofErr w:type="spellEnd"/>
      <w:r w:rsidRPr="007836C1">
        <w:t xml:space="preserve"> ; autorité de concurrence indépendante.</w:t>
      </w:r>
    </w:p>
    <w:p w14:paraId="327A7832" w14:textId="77777777" w:rsidR="007836C1" w:rsidRPr="007836C1" w:rsidRDefault="007836C1" w:rsidP="007836C1">
      <w:r w:rsidRPr="007836C1">
        <w:pict w14:anchorId="4C285091">
          <v:rect id="_x0000_i1089" style="width:0;height:1.5pt" o:hralign="center" o:hrstd="t" o:hr="t" fillcolor="#a0a0a0" stroked="f"/>
        </w:pict>
      </w:r>
    </w:p>
    <w:p w14:paraId="1F61D328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PARTIE V — ATTAQUES OPÉRATIONNELLES</w:t>
      </w:r>
    </w:p>
    <w:p w14:paraId="06EE79D4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Section 7 — Services essentiels</w:t>
      </w:r>
    </w:p>
    <w:p w14:paraId="05C47AC2" w14:textId="77777777" w:rsidR="007836C1" w:rsidRPr="007836C1" w:rsidRDefault="007836C1" w:rsidP="007836C1">
      <w:r w:rsidRPr="007836C1">
        <w:rPr>
          <w:b/>
          <w:bCs/>
        </w:rPr>
        <w:t>Risque</w:t>
      </w:r>
      <w:r w:rsidRPr="007836C1">
        <w:t xml:space="preserve"> : interruption.</w:t>
      </w:r>
      <w:r w:rsidRPr="007836C1">
        <w:br/>
      </w:r>
      <w:r w:rsidRPr="007836C1">
        <w:rPr>
          <w:b/>
          <w:bCs/>
        </w:rPr>
        <w:t>Analyse</w:t>
      </w:r>
      <w:r w:rsidRPr="007836C1">
        <w:t xml:space="preserve"> : verrou constitutionnel ; priorité budgétaire ; maintien des effectifs.</w:t>
      </w:r>
      <w:r w:rsidRPr="007836C1">
        <w:br/>
      </w:r>
      <w:r w:rsidRPr="007836C1">
        <w:rPr>
          <w:b/>
          <w:bCs/>
        </w:rPr>
        <w:t>Défense</w:t>
      </w:r>
      <w:r w:rsidRPr="007836C1">
        <w:t xml:space="preserve"> : plans de continuité ; responsabilité personnelle.</w:t>
      </w:r>
    </w:p>
    <w:p w14:paraId="5DA6158E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lastRenderedPageBreak/>
        <w:t>Section 8 — Transition administrative</w:t>
      </w:r>
    </w:p>
    <w:p w14:paraId="4795C173" w14:textId="77777777" w:rsidR="007836C1" w:rsidRPr="007836C1" w:rsidRDefault="007836C1" w:rsidP="007836C1">
      <w:r w:rsidRPr="007836C1">
        <w:rPr>
          <w:b/>
          <w:bCs/>
        </w:rPr>
        <w:t>Risque</w:t>
      </w:r>
      <w:r w:rsidRPr="007836C1">
        <w:t xml:space="preserve"> : désorganisation.</w:t>
      </w:r>
      <w:r w:rsidRPr="007836C1">
        <w:br/>
      </w:r>
      <w:r w:rsidRPr="007836C1">
        <w:rPr>
          <w:b/>
          <w:bCs/>
        </w:rPr>
        <w:t>Analyse</w:t>
      </w:r>
      <w:r w:rsidRPr="007836C1">
        <w:t xml:space="preserve"> : progressivité ; maintien des structures ; substitution fonctionnelle.</w:t>
      </w:r>
      <w:r w:rsidRPr="007836C1">
        <w:br/>
      </w:r>
      <w:r w:rsidRPr="007836C1">
        <w:rPr>
          <w:b/>
          <w:bCs/>
        </w:rPr>
        <w:t>Défense</w:t>
      </w:r>
      <w:r w:rsidRPr="007836C1">
        <w:t xml:space="preserve"> : outil SCQ ; comité de pilotage ; calendrier public.</w:t>
      </w:r>
    </w:p>
    <w:p w14:paraId="572B42F3" w14:textId="77777777" w:rsidR="007836C1" w:rsidRPr="007836C1" w:rsidRDefault="007836C1" w:rsidP="007836C1">
      <w:r w:rsidRPr="007836C1">
        <w:pict w14:anchorId="41A7B2D4">
          <v:rect id="_x0000_i1090" style="width:0;height:1.5pt" o:hralign="center" o:hrstd="t" o:hr="t" fillcolor="#a0a0a0" stroked="f"/>
        </w:pict>
      </w:r>
    </w:p>
    <w:p w14:paraId="31B44CE1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PARTIE VI — ATTAQUES INTERNATIONALES</w:t>
      </w:r>
    </w:p>
    <w:p w14:paraId="6CF61D17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Section 9 — Reconnaissance</w:t>
      </w:r>
    </w:p>
    <w:p w14:paraId="38C6F4E4" w14:textId="77777777" w:rsidR="007836C1" w:rsidRPr="007836C1" w:rsidRDefault="007836C1" w:rsidP="007836C1">
      <w:r w:rsidRPr="007836C1">
        <w:rPr>
          <w:b/>
          <w:bCs/>
        </w:rPr>
        <w:t>Risque</w:t>
      </w:r>
      <w:r w:rsidRPr="007836C1">
        <w:t xml:space="preserve"> : non-reconnaissance/pressions.</w:t>
      </w:r>
      <w:r w:rsidRPr="007836C1">
        <w:br/>
      </w:r>
      <w:r w:rsidRPr="007836C1">
        <w:rPr>
          <w:b/>
          <w:bCs/>
        </w:rPr>
        <w:t>Analyse</w:t>
      </w:r>
      <w:r w:rsidRPr="007836C1">
        <w:t xml:space="preserve"> : neutralité permanente ; relations pacifiques.</w:t>
      </w:r>
      <w:r w:rsidRPr="007836C1">
        <w:br/>
      </w:r>
      <w:r w:rsidRPr="007836C1">
        <w:rPr>
          <w:b/>
          <w:bCs/>
        </w:rPr>
        <w:t>Défense</w:t>
      </w:r>
      <w:r w:rsidRPr="007836C1">
        <w:t xml:space="preserve"> : non-alignement ; autonomie financière.</w:t>
      </w:r>
    </w:p>
    <w:p w14:paraId="43AD9A48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Section 10 — Sanctions</w:t>
      </w:r>
    </w:p>
    <w:p w14:paraId="7604929F" w14:textId="77777777" w:rsidR="007836C1" w:rsidRPr="007836C1" w:rsidRDefault="007836C1" w:rsidP="007836C1">
      <w:r w:rsidRPr="007836C1">
        <w:rPr>
          <w:b/>
          <w:bCs/>
        </w:rPr>
        <w:t>Risque</w:t>
      </w:r>
      <w:r w:rsidRPr="007836C1">
        <w:t xml:space="preserve"> : pressions économiques.</w:t>
      </w:r>
      <w:r w:rsidRPr="007836C1">
        <w:br/>
      </w:r>
      <w:r w:rsidRPr="007836C1">
        <w:rPr>
          <w:b/>
          <w:bCs/>
        </w:rPr>
        <w:t>Analyse</w:t>
      </w:r>
      <w:r w:rsidRPr="007836C1">
        <w:t xml:space="preserve"> : résilience énergétique/alimentaire ; réserves.</w:t>
      </w:r>
      <w:r w:rsidRPr="007836C1">
        <w:br/>
      </w:r>
      <w:r w:rsidRPr="007836C1">
        <w:rPr>
          <w:b/>
          <w:bCs/>
        </w:rPr>
        <w:t>Défense</w:t>
      </w:r>
      <w:r w:rsidRPr="007836C1">
        <w:t xml:space="preserve"> : diversification commerciale ; stocks stratégiques ; plans sectoriels.</w:t>
      </w:r>
    </w:p>
    <w:p w14:paraId="2879CF21" w14:textId="77777777" w:rsidR="007836C1" w:rsidRPr="007836C1" w:rsidRDefault="007836C1" w:rsidP="007836C1">
      <w:r w:rsidRPr="007836C1">
        <w:pict w14:anchorId="598434EC">
          <v:rect id="_x0000_i1091" style="width:0;height:1.5pt" o:hralign="center" o:hrstd="t" o:hr="t" fillcolor="#a0a0a0" stroked="f"/>
        </w:pict>
      </w:r>
    </w:p>
    <w:p w14:paraId="640BF815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PARTIE VII — ATTAQUES MÉDIATIQUES ET SOCIALES</w:t>
      </w:r>
    </w:p>
    <w:p w14:paraId="3A392854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Section 11 — Désinformation</w:t>
      </w:r>
    </w:p>
    <w:p w14:paraId="3DCCEB2B" w14:textId="77777777" w:rsidR="007836C1" w:rsidRPr="007836C1" w:rsidRDefault="007836C1" w:rsidP="007836C1">
      <w:r w:rsidRPr="007836C1">
        <w:rPr>
          <w:b/>
          <w:bCs/>
        </w:rPr>
        <w:t>Risque</w:t>
      </w:r>
      <w:r w:rsidRPr="007836C1">
        <w:t xml:space="preserve"> : campagnes hostiles.</w:t>
      </w:r>
      <w:r w:rsidRPr="007836C1">
        <w:br/>
      </w:r>
      <w:r w:rsidRPr="007836C1">
        <w:rPr>
          <w:b/>
          <w:bCs/>
        </w:rPr>
        <w:t>Analyse</w:t>
      </w:r>
      <w:r w:rsidRPr="007836C1">
        <w:t xml:space="preserve"> : transparence intégrale ; interdiction de propagande institutionnelle.</w:t>
      </w:r>
      <w:r w:rsidRPr="007836C1">
        <w:br/>
      </w:r>
      <w:r w:rsidRPr="007836C1">
        <w:rPr>
          <w:b/>
          <w:bCs/>
        </w:rPr>
        <w:t>Défense</w:t>
      </w:r>
      <w:r w:rsidRPr="007836C1">
        <w:t xml:space="preserve"> : publication systématique ; observateurs ; sanctions ciblées.</w:t>
      </w:r>
    </w:p>
    <w:p w14:paraId="7966A37D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Section 12 — Acceptabilité sociale</w:t>
      </w:r>
    </w:p>
    <w:p w14:paraId="719AEE90" w14:textId="77777777" w:rsidR="007836C1" w:rsidRPr="007836C1" w:rsidRDefault="007836C1" w:rsidP="007836C1">
      <w:r w:rsidRPr="007836C1">
        <w:rPr>
          <w:b/>
          <w:bCs/>
        </w:rPr>
        <w:t>Risque</w:t>
      </w:r>
      <w:r w:rsidRPr="007836C1">
        <w:t xml:space="preserve"> : polarisation.</w:t>
      </w:r>
      <w:r w:rsidRPr="007836C1">
        <w:br/>
      </w:r>
      <w:r w:rsidRPr="007836C1">
        <w:rPr>
          <w:b/>
          <w:bCs/>
        </w:rPr>
        <w:t>Analyse</w:t>
      </w:r>
      <w:r w:rsidRPr="007836C1">
        <w:t xml:space="preserve"> : version publique simplifiée ; protection des vulnérables.</w:t>
      </w:r>
      <w:r w:rsidRPr="007836C1">
        <w:br/>
      </w:r>
      <w:r w:rsidRPr="007836C1">
        <w:rPr>
          <w:b/>
          <w:bCs/>
        </w:rPr>
        <w:t>Défense</w:t>
      </w:r>
      <w:r w:rsidRPr="007836C1">
        <w:t xml:space="preserve"> : pédagogie ; consultations encadrées.</w:t>
      </w:r>
    </w:p>
    <w:p w14:paraId="5FBF09C4" w14:textId="77777777" w:rsidR="007836C1" w:rsidRPr="007836C1" w:rsidRDefault="007836C1" w:rsidP="007836C1">
      <w:r w:rsidRPr="007836C1">
        <w:pict w14:anchorId="3FEF2DA2">
          <v:rect id="_x0000_i1092" style="width:0;height:1.5pt" o:hralign="center" o:hrstd="t" o:hr="t" fillcolor="#a0a0a0" stroked="f"/>
        </w:pict>
      </w:r>
    </w:p>
    <w:p w14:paraId="3EE67CFE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PARTIE VIII — ATTAQUES TECHNOLOGIQUES</w:t>
      </w:r>
    </w:p>
    <w:p w14:paraId="2B55FF7B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Section 13 — Vote</w:t>
      </w:r>
    </w:p>
    <w:p w14:paraId="1D36D80B" w14:textId="77777777" w:rsidR="007836C1" w:rsidRPr="007836C1" w:rsidRDefault="007836C1" w:rsidP="007836C1">
      <w:r w:rsidRPr="007836C1">
        <w:rPr>
          <w:b/>
          <w:bCs/>
        </w:rPr>
        <w:t>Risque</w:t>
      </w:r>
      <w:r w:rsidRPr="007836C1">
        <w:t xml:space="preserve"> : cyberattaques.</w:t>
      </w:r>
      <w:r w:rsidRPr="007836C1">
        <w:br/>
      </w:r>
      <w:r w:rsidRPr="007836C1">
        <w:rPr>
          <w:b/>
          <w:bCs/>
        </w:rPr>
        <w:t>Analyse</w:t>
      </w:r>
      <w:r w:rsidRPr="007836C1">
        <w:t xml:space="preserve"> : preuve papier ; audits ; traçabilité sans briser l’anonymat.</w:t>
      </w:r>
      <w:r w:rsidRPr="007836C1">
        <w:br/>
      </w:r>
      <w:r w:rsidRPr="007836C1">
        <w:rPr>
          <w:b/>
          <w:bCs/>
        </w:rPr>
        <w:t>Défense</w:t>
      </w:r>
      <w:r w:rsidRPr="007836C1">
        <w:t xml:space="preserve"> : redondance ; audits tiers ; recomptage manuel.</w:t>
      </w:r>
    </w:p>
    <w:p w14:paraId="5C0AE6FA" w14:textId="77777777" w:rsidR="007836C1" w:rsidRPr="007836C1" w:rsidRDefault="007836C1" w:rsidP="007836C1">
      <w:r w:rsidRPr="007836C1">
        <w:pict w14:anchorId="55B668E8">
          <v:rect id="_x0000_i1093" style="width:0;height:1.5pt" o:hralign="center" o:hrstd="t" o:hr="t" fillcolor="#a0a0a0" stroked="f"/>
        </w:pict>
      </w:r>
    </w:p>
    <w:p w14:paraId="294BDB84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PARTIE IX — CONCLUSION</w:t>
      </w:r>
    </w:p>
    <w:p w14:paraId="5E31107F" w14:textId="77777777" w:rsidR="007836C1" w:rsidRPr="007836C1" w:rsidRDefault="007836C1" w:rsidP="007836C1">
      <w:r w:rsidRPr="007836C1">
        <w:rPr>
          <w:b/>
          <w:bCs/>
        </w:rPr>
        <w:t>Robustesse globale</w:t>
      </w:r>
      <w:r w:rsidRPr="007836C1">
        <w:t xml:space="preserve"> : élevée.</w:t>
      </w:r>
      <w:r w:rsidRPr="007836C1">
        <w:br/>
      </w:r>
      <w:r w:rsidRPr="007836C1">
        <w:rPr>
          <w:b/>
          <w:bCs/>
        </w:rPr>
        <w:t>Vulnérabilité résiduelle</w:t>
      </w:r>
      <w:r w:rsidRPr="007836C1">
        <w:t xml:space="preserve"> : faible à modérée, couverte par correctifs normatifs.</w:t>
      </w:r>
      <w:r w:rsidRPr="007836C1">
        <w:br/>
      </w:r>
      <w:r w:rsidRPr="007836C1">
        <w:rPr>
          <w:b/>
          <w:bCs/>
        </w:rPr>
        <w:lastRenderedPageBreak/>
        <w:t>Continuité de l’État</w:t>
      </w:r>
      <w:r w:rsidRPr="007836C1">
        <w:t xml:space="preserve"> : garantie.</w:t>
      </w:r>
      <w:r w:rsidRPr="007836C1">
        <w:br/>
      </w:r>
      <w:r w:rsidRPr="007836C1">
        <w:rPr>
          <w:b/>
          <w:bCs/>
        </w:rPr>
        <w:t>Cohérence interne</w:t>
      </w:r>
      <w:r w:rsidRPr="007836C1">
        <w:t xml:space="preserve"> : excellente.</w:t>
      </w:r>
    </w:p>
    <w:p w14:paraId="1B52C529" w14:textId="77777777" w:rsidR="007836C1" w:rsidRPr="007836C1" w:rsidRDefault="007836C1" w:rsidP="007836C1">
      <w:r w:rsidRPr="007836C1">
        <w:pict w14:anchorId="51E369F1">
          <v:rect id="_x0000_i1094" style="width:0;height:1.5pt" o:hralign="center" o:hrstd="t" o:hr="t" fillcolor="#a0a0a0" stroked="f"/>
        </w:pict>
      </w:r>
    </w:p>
    <w:p w14:paraId="51627462" w14:textId="77777777" w:rsidR="007836C1" w:rsidRPr="007836C1" w:rsidRDefault="007836C1" w:rsidP="007836C1">
      <w:pPr>
        <w:rPr>
          <w:b/>
          <w:bCs/>
        </w:rPr>
      </w:pPr>
      <w:r w:rsidRPr="007836C1">
        <w:rPr>
          <w:b/>
          <w:bCs/>
        </w:rPr>
        <w:t>ANNEXE — SYNTHÈSE EXÉCUTIVE</w:t>
      </w:r>
    </w:p>
    <w:p w14:paraId="4917C02C" w14:textId="77777777" w:rsidR="007836C1" w:rsidRPr="007836C1" w:rsidRDefault="007836C1" w:rsidP="007836C1">
      <w:pPr>
        <w:numPr>
          <w:ilvl w:val="0"/>
          <w:numId w:val="4"/>
        </w:numPr>
      </w:pPr>
      <w:r w:rsidRPr="007836C1">
        <w:t xml:space="preserve">Capacité de défense juridique : </w:t>
      </w:r>
      <w:r w:rsidRPr="007836C1">
        <w:rPr>
          <w:b/>
          <w:bCs/>
        </w:rPr>
        <w:t>élevée</w:t>
      </w:r>
    </w:p>
    <w:p w14:paraId="2F343964" w14:textId="77777777" w:rsidR="007836C1" w:rsidRPr="007836C1" w:rsidRDefault="007836C1" w:rsidP="007836C1">
      <w:pPr>
        <w:numPr>
          <w:ilvl w:val="0"/>
          <w:numId w:val="4"/>
        </w:numPr>
      </w:pPr>
      <w:r w:rsidRPr="007836C1">
        <w:t xml:space="preserve">Résilience institutionnelle : </w:t>
      </w:r>
      <w:r w:rsidRPr="007836C1">
        <w:rPr>
          <w:b/>
          <w:bCs/>
        </w:rPr>
        <w:t>élevée</w:t>
      </w:r>
    </w:p>
    <w:p w14:paraId="018A9044" w14:textId="77777777" w:rsidR="007836C1" w:rsidRPr="007836C1" w:rsidRDefault="007836C1" w:rsidP="007836C1">
      <w:pPr>
        <w:numPr>
          <w:ilvl w:val="0"/>
          <w:numId w:val="4"/>
        </w:numPr>
      </w:pPr>
      <w:r w:rsidRPr="007836C1">
        <w:t xml:space="preserve">Conformité État de droit : </w:t>
      </w:r>
      <w:r w:rsidRPr="007836C1">
        <w:rPr>
          <w:b/>
          <w:bCs/>
        </w:rPr>
        <w:t>confirmée</w:t>
      </w:r>
    </w:p>
    <w:p w14:paraId="27A0A2B3" w14:textId="77777777" w:rsidR="00EF3CF5" w:rsidRDefault="00EF3CF5"/>
    <w:sectPr w:rsidR="00EF3CF5" w:rsidSect="00EF3CF5">
      <w:pgSz w:w="12240" w:h="15840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4A0D"/>
    <w:multiLevelType w:val="multilevel"/>
    <w:tmpl w:val="4160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87945"/>
    <w:multiLevelType w:val="multilevel"/>
    <w:tmpl w:val="2E5C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164B5"/>
    <w:multiLevelType w:val="multilevel"/>
    <w:tmpl w:val="663A5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F80BFA"/>
    <w:multiLevelType w:val="multilevel"/>
    <w:tmpl w:val="5838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52645">
    <w:abstractNumId w:val="0"/>
  </w:num>
  <w:num w:numId="2" w16cid:durableId="769397911">
    <w:abstractNumId w:val="2"/>
  </w:num>
  <w:num w:numId="3" w16cid:durableId="422921032">
    <w:abstractNumId w:val="1"/>
  </w:num>
  <w:num w:numId="4" w16cid:durableId="1068530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15"/>
    <w:rsid w:val="00647876"/>
    <w:rsid w:val="007836C1"/>
    <w:rsid w:val="007B55F3"/>
    <w:rsid w:val="00B23448"/>
    <w:rsid w:val="00D41D04"/>
    <w:rsid w:val="00D76715"/>
    <w:rsid w:val="00EF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896AA"/>
  <w15:chartTrackingRefBased/>
  <w15:docId w15:val="{CAB62F62-6ADB-4055-9DBD-9557BBE2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6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6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6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6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6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6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6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6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6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6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6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6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67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67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67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67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67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67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6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6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6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6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6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67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67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67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6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67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6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675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3</cp:revision>
  <dcterms:created xsi:type="dcterms:W3CDTF">2026-01-25T02:46:00Z</dcterms:created>
  <dcterms:modified xsi:type="dcterms:W3CDTF">2026-01-25T02:47:00Z</dcterms:modified>
</cp:coreProperties>
</file>