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7E7D" w14:textId="77777777" w:rsidR="00B9333C" w:rsidRPr="00B9333C" w:rsidRDefault="00B9333C" w:rsidP="00B9333C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LOIS ORDINAIRES DU QUÉBEC SOUVERAIN</w:t>
      </w:r>
    </w:p>
    <w:p w14:paraId="576671E0" w14:textId="77777777" w:rsidR="00B9333C" w:rsidRDefault="00B9333C" w:rsidP="00B9333C">
      <w:pPr>
        <w:jc w:val="center"/>
        <w:rPr>
          <w:rFonts w:ascii="Arial" w:eastAsiaTheme="majorEastAsia" w:hAnsi="Arial" w:cs="Arial"/>
          <w:b/>
          <w:bCs/>
          <w:i/>
          <w:i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i/>
          <w:iCs/>
          <w:sz w:val="24"/>
          <w:szCs w:val="24"/>
          <w:lang w:val="fr-CA"/>
        </w:rPr>
        <w:t>(Application quotidienne de la Constitution et des lois organiques)</w:t>
      </w:r>
    </w:p>
    <w:p w14:paraId="17BE0D0D" w14:textId="66D119A5" w:rsidR="00B9333C" w:rsidRPr="00B9333C" w:rsidRDefault="00B9333C" w:rsidP="00B9333C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D1B8F6" wp14:editId="4EB1B665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90DE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02B3222A">
          <v:rect id="_x0000_i1146" style="width:0;height:1.5pt" o:hralign="center" o:hrstd="t" o:hr="t" fillcolor="#a0a0a0" stroked="f"/>
        </w:pict>
      </w:r>
    </w:p>
    <w:p w14:paraId="72615D1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I</w:t>
      </w:r>
    </w:p>
    <w:p w14:paraId="1C3DA11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LES PROCÉDURES DE VOTE CITOYEN</w:t>
      </w:r>
    </w:p>
    <w:p w14:paraId="03599F8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 — Objet</w:t>
      </w:r>
    </w:p>
    <w:p w14:paraId="204A1CBE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présente loi établit les modalités pratiques du vote citoyen continu.</w:t>
      </w:r>
    </w:p>
    <w:p w14:paraId="563D73E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 — Fenêtres de vote</w:t>
      </w:r>
    </w:p>
    <w:p w14:paraId="0E9508D8" w14:textId="77777777" w:rsidR="00B9333C" w:rsidRPr="00B9333C" w:rsidRDefault="00B9333C" w:rsidP="00B9333C">
      <w:pPr>
        <w:numPr>
          <w:ilvl w:val="0"/>
          <w:numId w:val="1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vote est ouvert pour une durée déterminée annoncée publiquement.</w:t>
      </w:r>
    </w:p>
    <w:p w14:paraId="0680ED5C" w14:textId="77777777" w:rsidR="00B9333C" w:rsidRPr="00B9333C" w:rsidRDefault="00B9333C" w:rsidP="00B9333C">
      <w:pPr>
        <w:numPr>
          <w:ilvl w:val="0"/>
          <w:numId w:val="1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votes se tiennent exclusivement entre 7 h 00 et 16 h 00.</w:t>
      </w:r>
    </w:p>
    <w:p w14:paraId="1B1EA051" w14:textId="77777777" w:rsidR="00B9333C" w:rsidRPr="00B9333C" w:rsidRDefault="00B9333C" w:rsidP="00B9333C">
      <w:pPr>
        <w:numPr>
          <w:ilvl w:val="0"/>
          <w:numId w:val="1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vote non complété est suspendu et repris le jour ouvrable suivant.</w:t>
      </w:r>
    </w:p>
    <w:p w14:paraId="00F8F841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 — Accessibilité</w:t>
      </w:r>
    </w:p>
    <w:p w14:paraId="6A588B4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vote est accessible :</w:t>
      </w:r>
    </w:p>
    <w:p w14:paraId="61E36547" w14:textId="77777777" w:rsidR="00B9333C" w:rsidRPr="00B9333C" w:rsidRDefault="00B9333C" w:rsidP="00B9333C">
      <w:pPr>
        <w:numPr>
          <w:ilvl w:val="0"/>
          <w:numId w:val="1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par plateforme numérique publique sécurisée ;</w:t>
      </w:r>
    </w:p>
    <w:p w14:paraId="6BB13539" w14:textId="77777777" w:rsidR="00B9333C" w:rsidRPr="00B9333C" w:rsidRDefault="00B9333C" w:rsidP="00B9333C">
      <w:pPr>
        <w:numPr>
          <w:ilvl w:val="0"/>
          <w:numId w:val="1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par moyens non numériques équivalents.</w:t>
      </w:r>
    </w:p>
    <w:p w14:paraId="0853C32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4 — Information préalable</w:t>
      </w:r>
    </w:p>
    <w:p w14:paraId="10722A9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Avant l’ouverture d’un vote, doivent être publiés :</w:t>
      </w:r>
    </w:p>
    <w:p w14:paraId="06D9065A" w14:textId="77777777" w:rsidR="00B9333C" w:rsidRPr="00B9333C" w:rsidRDefault="00B9333C" w:rsidP="00B9333C">
      <w:pPr>
        <w:numPr>
          <w:ilvl w:val="0"/>
          <w:numId w:val="1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 résumé clair ;</w:t>
      </w:r>
    </w:p>
    <w:p w14:paraId="4ED56B35" w14:textId="77777777" w:rsidR="00B9333C" w:rsidRPr="00B9333C" w:rsidRDefault="00B9333C" w:rsidP="00B9333C">
      <w:pPr>
        <w:numPr>
          <w:ilvl w:val="0"/>
          <w:numId w:val="1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impacts positifs et négatifs ;</w:t>
      </w:r>
    </w:p>
    <w:p w14:paraId="6C7EB927" w14:textId="77777777" w:rsidR="00B9333C" w:rsidRPr="00B9333C" w:rsidRDefault="00B9333C" w:rsidP="00B9333C">
      <w:pPr>
        <w:numPr>
          <w:ilvl w:val="0"/>
          <w:numId w:val="1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alternatives ;</w:t>
      </w:r>
    </w:p>
    <w:p w14:paraId="5491F265" w14:textId="77777777" w:rsidR="00B9333C" w:rsidRPr="00B9333C" w:rsidRDefault="00B9333C" w:rsidP="00B9333C">
      <w:pPr>
        <w:numPr>
          <w:ilvl w:val="0"/>
          <w:numId w:val="1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les sources et données.</w:t>
      </w:r>
    </w:p>
    <w:p w14:paraId="7E0CF5D0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5 — Nullité</w:t>
      </w:r>
    </w:p>
    <w:p w14:paraId="523F26B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vote tenu sans respect des articles précédents est nul.</w:t>
      </w:r>
    </w:p>
    <w:p w14:paraId="5BBC5780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D324AF3">
          <v:rect id="_x0000_i1147" style="width:0;height:1.5pt" o:hralign="center" o:hrstd="t" o:hr="t" fillcolor="#a0a0a0" stroked="f"/>
        </w:pict>
      </w:r>
    </w:p>
    <w:p w14:paraId="6375A55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II</w:t>
      </w:r>
    </w:p>
    <w:p w14:paraId="3355AEC9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LES SEUILS, QUORUMS ET VALIDATION</w:t>
      </w:r>
    </w:p>
    <w:p w14:paraId="791F323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6 — Calcul des seuils</w:t>
      </w:r>
    </w:p>
    <w:p w14:paraId="3CD6D9C6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seuils de validation sont calculés sur la population totale admissible, et non sur les votants seulement.</w:t>
      </w:r>
    </w:p>
    <w:p w14:paraId="196D60C4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7 — Abstention stratégique</w:t>
      </w:r>
    </w:p>
    <w:p w14:paraId="1425FEE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campagne visant à provoquer l’abstention pour bloquer un seuil est interdite.</w:t>
      </w:r>
    </w:p>
    <w:p w14:paraId="10B059CE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8 — Validation</w:t>
      </w:r>
    </w:p>
    <w:p w14:paraId="5871F9A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résultats sont publiés intégralement, avec méthodologie et données brutes vérifiables.</w:t>
      </w:r>
    </w:p>
    <w:p w14:paraId="2783FA0D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7D720DC3">
          <v:rect id="_x0000_i1148" style="width:0;height:1.5pt" o:hralign="center" o:hrstd="t" o:hr="t" fillcolor="#a0a0a0" stroked="f"/>
        </w:pict>
      </w:r>
    </w:p>
    <w:p w14:paraId="0D1C91E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III</w:t>
      </w:r>
    </w:p>
    <w:p w14:paraId="1C1601D8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LA RÉVOCATION POPULAIRE — PROCÉDURES</w:t>
      </w:r>
    </w:p>
    <w:p w14:paraId="1351746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9 — Déclenchement</w:t>
      </w:r>
    </w:p>
    <w:p w14:paraId="36EBE22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révocation est déclenchée par une pétition citoyenne atteignant le seuil prévu.</w:t>
      </w:r>
    </w:p>
    <w:p w14:paraId="124F84E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10 — Délai</w:t>
      </w:r>
    </w:p>
    <w:p w14:paraId="0FAA552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 vote de révocation doit être tenu dans un délai maximal fixé par règlement.</w:t>
      </w:r>
    </w:p>
    <w:p w14:paraId="1490AA3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11 — Effet</w:t>
      </w:r>
    </w:p>
    <w:p w14:paraId="0CDE7738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destitution entraîne la perte immédiate de la fonction et des privilèges associés.</w:t>
      </w:r>
    </w:p>
    <w:p w14:paraId="4D90492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pict w14:anchorId="1B86FF9B">
          <v:rect id="_x0000_i1149" style="width:0;height:1.5pt" o:hralign="center" o:hrstd="t" o:hr="t" fillcolor="#a0a0a0" stroked="f"/>
        </w:pict>
      </w:r>
    </w:p>
    <w:p w14:paraId="335344A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IV</w:t>
      </w:r>
    </w:p>
    <w:p w14:paraId="1C7D41DD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LA COMMUNICATION PUBLIQUE</w:t>
      </w:r>
    </w:p>
    <w:p w14:paraId="0C547F8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12 — Format obligatoire</w:t>
      </w:r>
    </w:p>
    <w:p w14:paraId="20ADE38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communication publique officielle suit l’ordre :</w:t>
      </w:r>
    </w:p>
    <w:p w14:paraId="49FF227D" w14:textId="77777777" w:rsidR="00B9333C" w:rsidRPr="00B9333C" w:rsidRDefault="00B9333C" w:rsidP="00B9333C">
      <w:pPr>
        <w:numPr>
          <w:ilvl w:val="0"/>
          <w:numId w:val="1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réponse directe à la question ;</w:t>
      </w:r>
    </w:p>
    <w:p w14:paraId="5BDAEAD4" w14:textId="77777777" w:rsidR="00B9333C" w:rsidRPr="00B9333C" w:rsidRDefault="00B9333C" w:rsidP="00B9333C">
      <w:pPr>
        <w:numPr>
          <w:ilvl w:val="0"/>
          <w:numId w:val="1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faits et données ;</w:t>
      </w:r>
    </w:p>
    <w:p w14:paraId="786FA38D" w14:textId="77777777" w:rsidR="00B9333C" w:rsidRPr="00B9333C" w:rsidRDefault="00B9333C" w:rsidP="00B9333C">
      <w:pPr>
        <w:numPr>
          <w:ilvl w:val="0"/>
          <w:numId w:val="1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contexte et limites.</w:t>
      </w:r>
    </w:p>
    <w:p w14:paraId="6DE23E9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13 — Interdictions</w:t>
      </w:r>
    </w:p>
    <w:p w14:paraId="1B876C0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Il est interdit :</w:t>
      </w:r>
    </w:p>
    <w:p w14:paraId="35487EFF" w14:textId="77777777" w:rsidR="00B9333C" w:rsidRPr="00B9333C" w:rsidRDefault="00B9333C" w:rsidP="00B9333C">
      <w:pPr>
        <w:numPr>
          <w:ilvl w:val="0"/>
          <w:numId w:val="2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 répondre hors sujet ;</w:t>
      </w:r>
    </w:p>
    <w:p w14:paraId="393CBB6D" w14:textId="77777777" w:rsidR="00B9333C" w:rsidRPr="00B9333C" w:rsidRDefault="00B9333C" w:rsidP="00B9333C">
      <w:pPr>
        <w:numPr>
          <w:ilvl w:val="0"/>
          <w:numId w:val="2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d’utiliser des formulations floues ;</w:t>
      </w:r>
    </w:p>
    <w:p w14:paraId="69EF26AD" w14:textId="77777777" w:rsidR="00B9333C" w:rsidRPr="00B9333C" w:rsidRDefault="00B9333C" w:rsidP="00B9333C">
      <w:pPr>
        <w:numPr>
          <w:ilvl w:val="0"/>
          <w:numId w:val="2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 substituer une réponse politique à une réponse factuelle.</w:t>
      </w:r>
    </w:p>
    <w:p w14:paraId="16ABB223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14 — Rectification</w:t>
      </w:r>
    </w:p>
    <w:p w14:paraId="53DDA2C9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information inexacte doit être corrigée publiquement sans délai.</w:t>
      </w:r>
    </w:p>
    <w:p w14:paraId="78BACA1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508AA43">
          <v:rect id="_x0000_i1150" style="width:0;height:1.5pt" o:hralign="center" o:hrstd="t" o:hr="t" fillcolor="#a0a0a0" stroked="f"/>
        </w:pict>
      </w:r>
    </w:p>
    <w:p w14:paraId="30E7C2B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V</w:t>
      </w:r>
    </w:p>
    <w:p w14:paraId="4626227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LA TRANSPARENCE ADMINISTRATIVE</w:t>
      </w:r>
    </w:p>
    <w:p w14:paraId="4005720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15 — Publication proactive</w:t>
      </w:r>
    </w:p>
    <w:p w14:paraId="2BF4F40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Sont publiés automatiquement :</w:t>
      </w:r>
    </w:p>
    <w:p w14:paraId="6F4276D3" w14:textId="77777777" w:rsidR="00B9333C" w:rsidRPr="00B9333C" w:rsidRDefault="00B9333C" w:rsidP="00B9333C">
      <w:pPr>
        <w:numPr>
          <w:ilvl w:val="0"/>
          <w:numId w:val="2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budgets ;</w:t>
      </w:r>
    </w:p>
    <w:p w14:paraId="63D56507" w14:textId="77777777" w:rsidR="00B9333C" w:rsidRPr="00B9333C" w:rsidRDefault="00B9333C" w:rsidP="00B9333C">
      <w:pPr>
        <w:numPr>
          <w:ilvl w:val="0"/>
          <w:numId w:val="2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dépenses ;</w:t>
      </w:r>
    </w:p>
    <w:p w14:paraId="0C91986F" w14:textId="77777777" w:rsidR="00B9333C" w:rsidRPr="00B9333C" w:rsidRDefault="00B9333C" w:rsidP="00B9333C">
      <w:pPr>
        <w:numPr>
          <w:ilvl w:val="0"/>
          <w:numId w:val="2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contrats publics ;</w:t>
      </w:r>
    </w:p>
    <w:p w14:paraId="48919A76" w14:textId="77777777" w:rsidR="00B9333C" w:rsidRPr="00B9333C" w:rsidRDefault="00B9333C" w:rsidP="00B9333C">
      <w:pPr>
        <w:numPr>
          <w:ilvl w:val="0"/>
          <w:numId w:val="2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études d’impact ;</w:t>
      </w:r>
    </w:p>
    <w:p w14:paraId="14DF8D4B" w14:textId="77777777" w:rsidR="00B9333C" w:rsidRPr="00B9333C" w:rsidRDefault="00B9333C" w:rsidP="00B9333C">
      <w:pPr>
        <w:numPr>
          <w:ilvl w:val="0"/>
          <w:numId w:val="2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directives applicables au public.</w:t>
      </w:r>
    </w:p>
    <w:p w14:paraId="5F3C235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Article 16 — Exceptions</w:t>
      </w:r>
    </w:p>
    <w:p w14:paraId="21251AE0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exception doit être :</w:t>
      </w:r>
    </w:p>
    <w:p w14:paraId="2784BB6C" w14:textId="77777777" w:rsidR="00B9333C" w:rsidRPr="00B9333C" w:rsidRDefault="00B9333C" w:rsidP="00B9333C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motivée par écrit ;</w:t>
      </w:r>
    </w:p>
    <w:p w14:paraId="2A16F2FB" w14:textId="77777777" w:rsidR="00B9333C" w:rsidRPr="00B9333C" w:rsidRDefault="00B9333C" w:rsidP="00B9333C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limitée ;</w:t>
      </w:r>
    </w:p>
    <w:p w14:paraId="4D744B5E" w14:textId="77777777" w:rsidR="00B9333C" w:rsidRPr="00B9333C" w:rsidRDefault="00B9333C" w:rsidP="00B9333C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assortie d’une date de fin.</w:t>
      </w:r>
    </w:p>
    <w:p w14:paraId="017C3A3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17 — Secret illégal</w:t>
      </w:r>
    </w:p>
    <w:p w14:paraId="15D29E30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secret visant à éviter un contrôle est interdit et sanctionné.</w:t>
      </w:r>
    </w:p>
    <w:p w14:paraId="4C0B461E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587894B8">
          <v:rect id="_x0000_i1151" style="width:0;height:1.5pt" o:hralign="center" o:hrstd="t" o:hr="t" fillcolor="#a0a0a0" stroked="f"/>
        </w:pict>
      </w:r>
    </w:p>
    <w:p w14:paraId="678DD87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VI</w:t>
      </w:r>
    </w:p>
    <w:p w14:paraId="47B5E3B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LES CONTRATS ET FINANCES PUBLIQUES</w:t>
      </w:r>
    </w:p>
    <w:p w14:paraId="27ED837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18 — Appels d’offres</w:t>
      </w:r>
    </w:p>
    <w:p w14:paraId="5DD9A84D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contrat public est attribué par appel d’offres transparent, sauf exception justifiée.</w:t>
      </w:r>
    </w:p>
    <w:p w14:paraId="021A68A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19 — Bénéficiaires ultimes</w:t>
      </w:r>
    </w:p>
    <w:p w14:paraId="4A2E21A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divulgation des bénéficiaires ultimes est obligatoire.</w:t>
      </w:r>
    </w:p>
    <w:p w14:paraId="66CE63C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20 — Nullité</w:t>
      </w:r>
    </w:p>
    <w:p w14:paraId="16D6C52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contrat attribué en violation des règles est nul.</w:t>
      </w:r>
    </w:p>
    <w:p w14:paraId="4856264F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4EE4285">
          <v:rect id="_x0000_i1152" style="width:0;height:1.5pt" o:hralign="center" o:hrstd="t" o:hr="t" fillcolor="#a0a0a0" stroked="f"/>
        </w:pict>
      </w:r>
    </w:p>
    <w:p w14:paraId="2C0886EF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VII</w:t>
      </w:r>
    </w:p>
    <w:p w14:paraId="5E2D375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L’INFLUENCE, LE LOBBYING ET LES PORTES TOURNANTES</w:t>
      </w:r>
    </w:p>
    <w:p w14:paraId="07B01CF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21 — Registre</w:t>
      </w:r>
    </w:p>
    <w:p w14:paraId="0A549B0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tentative d’influence doit être inscrite dans un registre public.</w:t>
      </w:r>
    </w:p>
    <w:p w14:paraId="6ACB5CB0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22 — Interdictions</w:t>
      </w:r>
    </w:p>
    <w:p w14:paraId="16AFB849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Sont interdits :</w:t>
      </w:r>
    </w:p>
    <w:p w14:paraId="6E3D952B" w14:textId="77777777" w:rsidR="00B9333C" w:rsidRPr="00B9333C" w:rsidRDefault="00B9333C" w:rsidP="00B9333C">
      <w:pPr>
        <w:numPr>
          <w:ilvl w:val="0"/>
          <w:numId w:val="2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prête-noms ;</w:t>
      </w:r>
    </w:p>
    <w:p w14:paraId="4B908BDB" w14:textId="77777777" w:rsidR="00B9333C" w:rsidRPr="00B9333C" w:rsidRDefault="00B9333C" w:rsidP="00B9333C">
      <w:pPr>
        <w:numPr>
          <w:ilvl w:val="0"/>
          <w:numId w:val="2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avantages cachés ;</w:t>
      </w:r>
    </w:p>
    <w:p w14:paraId="03522681" w14:textId="77777777" w:rsidR="00B9333C" w:rsidRPr="00B9333C" w:rsidRDefault="00B9333C" w:rsidP="00B9333C">
      <w:pPr>
        <w:numPr>
          <w:ilvl w:val="0"/>
          <w:numId w:val="2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financement indirect.</w:t>
      </w:r>
    </w:p>
    <w:p w14:paraId="019BE37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23 — Carence</w:t>
      </w:r>
    </w:p>
    <w:p w14:paraId="5471A2A6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titulaires de fonctions sensibles sont soumis à une période de carence obligatoire.</w:t>
      </w:r>
    </w:p>
    <w:p w14:paraId="26798C0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637A9C77">
          <v:rect id="_x0000_i1153" style="width:0;height:1.5pt" o:hralign="center" o:hrstd="t" o:hr="t" fillcolor="#a0a0a0" stroked="f"/>
        </w:pict>
      </w:r>
    </w:p>
    <w:p w14:paraId="1FFE759D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VIII</w:t>
      </w:r>
    </w:p>
    <w:p w14:paraId="7FF2C5E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LES SANCTIONS ET LA RESPONSABILITÉ</w:t>
      </w:r>
    </w:p>
    <w:p w14:paraId="1F9FF04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24 — Sanctions graduées</w:t>
      </w:r>
    </w:p>
    <w:p w14:paraId="55D1FC9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Selon la gravité :</w:t>
      </w:r>
    </w:p>
    <w:p w14:paraId="73D4A936" w14:textId="77777777" w:rsidR="00B9333C" w:rsidRPr="00B9333C" w:rsidRDefault="00B9333C" w:rsidP="00B9333C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avertissement public ;</w:t>
      </w:r>
    </w:p>
    <w:p w14:paraId="406C73D4" w14:textId="77777777" w:rsidR="00B9333C" w:rsidRPr="00B9333C" w:rsidRDefault="00B9333C" w:rsidP="00B9333C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amende administrative ;</w:t>
      </w:r>
    </w:p>
    <w:p w14:paraId="1BA4658F" w14:textId="77777777" w:rsidR="00B9333C" w:rsidRPr="00B9333C" w:rsidRDefault="00B9333C" w:rsidP="00B9333C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suspension ;</w:t>
      </w:r>
    </w:p>
    <w:p w14:paraId="0CD8D4C0" w14:textId="77777777" w:rsidR="00B9333C" w:rsidRPr="00B9333C" w:rsidRDefault="00B9333C" w:rsidP="00B9333C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perte de fonction ;</w:t>
      </w:r>
    </w:p>
    <w:p w14:paraId="75668D42" w14:textId="77777777" w:rsidR="00B9333C" w:rsidRPr="00B9333C" w:rsidRDefault="00B9333C" w:rsidP="00B9333C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inéligibilité.</w:t>
      </w:r>
    </w:p>
    <w:p w14:paraId="7A461010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25 — Responsabilité personnelle</w:t>
      </w:r>
    </w:p>
    <w:p w14:paraId="6CE33603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Nul ne peut se soustraire à sa responsabilité par l’obéissance hiérarchique.</w:t>
      </w:r>
    </w:p>
    <w:p w14:paraId="639C0933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71D16B40">
          <v:rect id="_x0000_i1154" style="width:0;height:1.5pt" o:hralign="center" o:hrstd="t" o:hr="t" fillcolor="#a0a0a0" stroked="f"/>
        </w:pict>
      </w:r>
    </w:p>
    <w:p w14:paraId="7419C9F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IX</w:t>
      </w:r>
    </w:p>
    <w:p w14:paraId="1C65B371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LES PROCÉDURES LÉGISLATIVES</w:t>
      </w:r>
    </w:p>
    <w:p w14:paraId="04A1BE36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26 — Amendements</w:t>
      </w:r>
    </w:p>
    <w:p w14:paraId="4C0ACE05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amendement substantiel rouvre le processus démocratique.</w:t>
      </w:r>
    </w:p>
    <w:p w14:paraId="558E7CB1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27 — Calendrier</w:t>
      </w:r>
    </w:p>
    <w:p w14:paraId="56527B33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projets de loi suivent un calendrier public fixe.</w:t>
      </w:r>
    </w:p>
    <w:p w14:paraId="354D38C2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28 — Saturation législative</w:t>
      </w:r>
    </w:p>
    <w:p w14:paraId="6E872D29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Un plafond annuel de lois majeures est fixé afin d’éviter l’épuisement démocratique.</w:t>
      </w:r>
    </w:p>
    <w:p w14:paraId="52DC710F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0A0C7748">
          <v:rect id="_x0000_i1155" style="width:0;height:1.5pt" o:hralign="center" o:hrstd="t" o:hr="t" fillcolor="#a0a0a0" stroked="f"/>
        </w:pict>
      </w:r>
    </w:p>
    <w:p w14:paraId="6DEA2D54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ORDINAIRE X</w:t>
      </w:r>
    </w:p>
    <w:p w14:paraId="4BD9EA66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LOI SUR LE CONTRÔLE CITOYEN ET L’ALERTE</w:t>
      </w:r>
    </w:p>
    <w:p w14:paraId="020220B4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29 — Signalement</w:t>
      </w:r>
    </w:p>
    <w:p w14:paraId="26AD3E1B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citoyen peut signaler un abus ou un contournement.</w:t>
      </w:r>
    </w:p>
    <w:p w14:paraId="5F346BCC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30 — Traitement</w:t>
      </w:r>
    </w:p>
    <w:p w14:paraId="791867B8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alerte reçoit une réponse motivée dans un délai déterminé.</w:t>
      </w:r>
    </w:p>
    <w:p w14:paraId="384FEC4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31 — Protection</w:t>
      </w:r>
    </w:p>
    <w:p w14:paraId="6D28A2D4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lanceurs d’alerte sont protégés contre toute représaille.</w:t>
      </w:r>
    </w:p>
    <w:p w14:paraId="4AFB97F3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1B48B08B">
          <v:rect id="_x0000_i1156" style="width:0;height:1.5pt" o:hralign="center" o:hrstd="t" o:hr="t" fillcolor="#a0a0a0" stroked="f"/>
        </w:pict>
      </w:r>
    </w:p>
    <w:p w14:paraId="310125B6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DISPOSITIONS FINALES</w:t>
      </w:r>
    </w:p>
    <w:p w14:paraId="14108831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32 — Subordination</w:t>
      </w:r>
    </w:p>
    <w:p w14:paraId="594587CE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lois ordinaires sont subordonnées à la Constitution et aux lois organiques.</w:t>
      </w:r>
    </w:p>
    <w:p w14:paraId="5B77D907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33 — Entrée en vigueur</w:t>
      </w:r>
    </w:p>
    <w:p w14:paraId="1FCDD0AA" w14:textId="77777777" w:rsidR="00B9333C" w:rsidRPr="00B9333C" w:rsidRDefault="00B9333C" w:rsidP="00B9333C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9333C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modalités d’entrée en vigueur sont fixées par règlement.</w:t>
      </w:r>
    </w:p>
    <w:p w14:paraId="1C8CC4CF" w14:textId="0E085581" w:rsidR="00DC0468" w:rsidRPr="00B9333C" w:rsidRDefault="00DC0468" w:rsidP="00B9333C">
      <w:pPr>
        <w:rPr>
          <w:rFonts w:ascii="Arial" w:hAnsi="Arial" w:cs="Arial"/>
          <w:sz w:val="24"/>
          <w:szCs w:val="24"/>
          <w:lang w:val="fr-CA"/>
        </w:rPr>
      </w:pPr>
    </w:p>
    <w:sectPr w:rsidR="00DC0468" w:rsidRPr="00B93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F280A"/>
    <w:multiLevelType w:val="multilevel"/>
    <w:tmpl w:val="A3B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04498"/>
    <w:multiLevelType w:val="multilevel"/>
    <w:tmpl w:val="8B3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0627D"/>
    <w:multiLevelType w:val="multilevel"/>
    <w:tmpl w:val="1F2E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F03B3"/>
    <w:multiLevelType w:val="multilevel"/>
    <w:tmpl w:val="3194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90EBC"/>
    <w:multiLevelType w:val="multilevel"/>
    <w:tmpl w:val="100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3134C"/>
    <w:multiLevelType w:val="multilevel"/>
    <w:tmpl w:val="F66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F19E8"/>
    <w:multiLevelType w:val="multilevel"/>
    <w:tmpl w:val="FBB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44BAE"/>
    <w:multiLevelType w:val="multilevel"/>
    <w:tmpl w:val="256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626A7"/>
    <w:multiLevelType w:val="multilevel"/>
    <w:tmpl w:val="179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B3564"/>
    <w:multiLevelType w:val="multilevel"/>
    <w:tmpl w:val="13F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657EF"/>
    <w:multiLevelType w:val="multilevel"/>
    <w:tmpl w:val="62E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238CC"/>
    <w:multiLevelType w:val="multilevel"/>
    <w:tmpl w:val="371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4667F"/>
    <w:multiLevelType w:val="multilevel"/>
    <w:tmpl w:val="D0B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C2620"/>
    <w:multiLevelType w:val="multilevel"/>
    <w:tmpl w:val="8A5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07DD5"/>
    <w:multiLevelType w:val="multilevel"/>
    <w:tmpl w:val="64F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6338">
    <w:abstractNumId w:val="8"/>
  </w:num>
  <w:num w:numId="2" w16cid:durableId="1452700215">
    <w:abstractNumId w:val="6"/>
  </w:num>
  <w:num w:numId="3" w16cid:durableId="342900723">
    <w:abstractNumId w:val="5"/>
  </w:num>
  <w:num w:numId="4" w16cid:durableId="653070842">
    <w:abstractNumId w:val="4"/>
  </w:num>
  <w:num w:numId="5" w16cid:durableId="52824541">
    <w:abstractNumId w:val="7"/>
  </w:num>
  <w:num w:numId="6" w16cid:durableId="583992650">
    <w:abstractNumId w:val="3"/>
  </w:num>
  <w:num w:numId="7" w16cid:durableId="911743545">
    <w:abstractNumId w:val="2"/>
  </w:num>
  <w:num w:numId="8" w16cid:durableId="1378121820">
    <w:abstractNumId w:val="1"/>
  </w:num>
  <w:num w:numId="9" w16cid:durableId="2122608378">
    <w:abstractNumId w:val="0"/>
  </w:num>
  <w:num w:numId="10" w16cid:durableId="119962408">
    <w:abstractNumId w:val="10"/>
  </w:num>
  <w:num w:numId="11" w16cid:durableId="2021933136">
    <w:abstractNumId w:val="21"/>
  </w:num>
  <w:num w:numId="12" w16cid:durableId="1843545621">
    <w:abstractNumId w:val="22"/>
  </w:num>
  <w:num w:numId="13" w16cid:durableId="754739438">
    <w:abstractNumId w:val="18"/>
  </w:num>
  <w:num w:numId="14" w16cid:durableId="1310793778">
    <w:abstractNumId w:val="15"/>
  </w:num>
  <w:num w:numId="15" w16cid:durableId="414330175">
    <w:abstractNumId w:val="19"/>
  </w:num>
  <w:num w:numId="16" w16cid:durableId="2073887604">
    <w:abstractNumId w:val="12"/>
  </w:num>
  <w:num w:numId="17" w16cid:durableId="1758480133">
    <w:abstractNumId w:val="13"/>
  </w:num>
  <w:num w:numId="18" w16cid:durableId="634219344">
    <w:abstractNumId w:val="17"/>
  </w:num>
  <w:num w:numId="19" w16cid:durableId="1036658553">
    <w:abstractNumId w:val="11"/>
  </w:num>
  <w:num w:numId="20" w16cid:durableId="1927572031">
    <w:abstractNumId w:val="23"/>
  </w:num>
  <w:num w:numId="21" w16cid:durableId="1611281517">
    <w:abstractNumId w:val="14"/>
  </w:num>
  <w:num w:numId="22" w16cid:durableId="1744836869">
    <w:abstractNumId w:val="20"/>
  </w:num>
  <w:num w:numId="23" w16cid:durableId="929703582">
    <w:abstractNumId w:val="9"/>
  </w:num>
  <w:num w:numId="24" w16cid:durableId="6095507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6F"/>
    <w:rsid w:val="0006063C"/>
    <w:rsid w:val="0015074B"/>
    <w:rsid w:val="0029639D"/>
    <w:rsid w:val="00326F90"/>
    <w:rsid w:val="004D1029"/>
    <w:rsid w:val="0065674E"/>
    <w:rsid w:val="009D3E73"/>
    <w:rsid w:val="00AA1D8D"/>
    <w:rsid w:val="00B47730"/>
    <w:rsid w:val="00B9333C"/>
    <w:rsid w:val="00CB0664"/>
    <w:rsid w:val="00DA1071"/>
    <w:rsid w:val="00DC0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BFFD0"/>
  <w14:defaultImageDpi w14:val="300"/>
  <w15:docId w15:val="{904E1F5C-2ADC-4E72-83D9-28BEEEEE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4</cp:revision>
  <dcterms:created xsi:type="dcterms:W3CDTF">2013-12-23T23:15:00Z</dcterms:created>
  <dcterms:modified xsi:type="dcterms:W3CDTF">2025-12-27T17:23:00Z</dcterms:modified>
  <cp:category/>
</cp:coreProperties>
</file>