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35336" w14:textId="77777777" w:rsidR="00E6314F" w:rsidRPr="00E6314F" w:rsidRDefault="00E6314F" w:rsidP="00E6314F">
      <w:pPr>
        <w:jc w:val="center"/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RÈGLEMENTS DU QUÉBEC SOUVERAIN</w:t>
      </w:r>
    </w:p>
    <w:p w14:paraId="1A3C1FCD" w14:textId="77777777" w:rsidR="00E6314F" w:rsidRDefault="00E6314F" w:rsidP="00E6314F">
      <w:pPr>
        <w:jc w:val="center"/>
        <w:rPr>
          <w:rFonts w:ascii="Arial" w:hAnsi="Arial" w:cs="Arial"/>
          <w:b/>
          <w:bCs/>
          <w:i/>
          <w:i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i/>
          <w:iCs/>
          <w:sz w:val="24"/>
          <w:szCs w:val="24"/>
          <w:lang w:val="fr-CA"/>
        </w:rPr>
        <w:t>(Application technique, administrative et sécuritaire des lois)</w:t>
      </w:r>
    </w:p>
    <w:p w14:paraId="06F60BC3" w14:textId="282DF3C9" w:rsidR="00E6314F" w:rsidRPr="00E6314F" w:rsidRDefault="00E6314F" w:rsidP="00E6314F">
      <w:pPr>
        <w:jc w:val="center"/>
        <w:rPr>
          <w:rFonts w:ascii="Arial" w:hAnsi="Arial" w:cs="Arial"/>
          <w:b/>
          <w:bCs/>
          <w:sz w:val="24"/>
          <w:szCs w:val="24"/>
          <w:lang w:val="fr-CA"/>
        </w:rPr>
      </w:pPr>
      <w:r w:rsidRPr="009E0AAA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5EE257D" wp14:editId="1C20DA1E">
            <wp:extent cx="881380" cy="962025"/>
            <wp:effectExtent l="0" t="0" r="0" b="9525"/>
            <wp:docPr id="4996731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8138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CC581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pict w14:anchorId="7E62FABF">
          <v:rect id="_x0000_i1156" style="width:0;height:1.5pt" o:hralign="center" o:hrstd="t" o:hr="t" fillcolor="#a0a0a0" stroked="f"/>
        </w:pict>
      </w:r>
    </w:p>
    <w:p w14:paraId="0C51AB07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I</w:t>
      </w:r>
    </w:p>
    <w:p w14:paraId="341AD1C2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SUR LA PLATEFORME DE VOTE CITOYEN</w:t>
      </w:r>
    </w:p>
    <w:p w14:paraId="03EDCB62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1 — Objet</w:t>
      </w:r>
    </w:p>
    <w:p w14:paraId="54A02227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 présent règlement établit les normes techniques et opérationnelles de la plateforme de vote citoyen.</w:t>
      </w:r>
    </w:p>
    <w:p w14:paraId="1E4B0ACF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2 — Principes directeurs</w:t>
      </w:r>
    </w:p>
    <w:p w14:paraId="3FEA7C78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La plateforme doit garantir :</w:t>
      </w:r>
    </w:p>
    <w:p w14:paraId="21B5D632" w14:textId="77777777" w:rsidR="00E6314F" w:rsidRPr="00E6314F" w:rsidRDefault="00E6314F" w:rsidP="00E6314F">
      <w:pPr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la sécurité ;</w:t>
      </w:r>
    </w:p>
    <w:p w14:paraId="57E70465" w14:textId="77777777" w:rsidR="00E6314F" w:rsidRPr="00E6314F" w:rsidRDefault="00E6314F" w:rsidP="00E6314F">
      <w:pPr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l’intégrité ;</w:t>
      </w:r>
    </w:p>
    <w:p w14:paraId="54A0746D" w14:textId="77777777" w:rsidR="00E6314F" w:rsidRPr="00E6314F" w:rsidRDefault="00E6314F" w:rsidP="00E6314F">
      <w:pPr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la confidentialité du vote ;</w:t>
      </w:r>
    </w:p>
    <w:p w14:paraId="2A9F5C5B" w14:textId="77777777" w:rsidR="00E6314F" w:rsidRPr="00E6314F" w:rsidRDefault="00E6314F" w:rsidP="00E6314F">
      <w:pPr>
        <w:numPr>
          <w:ilvl w:val="0"/>
          <w:numId w:val="12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la traçabilité du processus sans traçabilité du choix individuel.</w:t>
      </w:r>
    </w:p>
    <w:p w14:paraId="3EA6D1F8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3 — Accès</w:t>
      </w:r>
    </w:p>
    <w:p w14:paraId="20D1F8CD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La plateforme est accessible par :</w:t>
      </w:r>
    </w:p>
    <w:p w14:paraId="3242A4EB" w14:textId="77777777" w:rsidR="00E6314F" w:rsidRPr="00E6314F" w:rsidRDefault="00E6314F" w:rsidP="00E6314F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téléphone mobile ;</w:t>
      </w:r>
    </w:p>
    <w:p w14:paraId="41BD9A0C" w14:textId="77777777" w:rsidR="00E6314F" w:rsidRPr="00E6314F" w:rsidRDefault="00E6314F" w:rsidP="00E6314F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tablette ;</w:t>
      </w:r>
    </w:p>
    <w:p w14:paraId="21CB8D90" w14:textId="77777777" w:rsidR="00E6314F" w:rsidRPr="00E6314F" w:rsidRDefault="00E6314F" w:rsidP="00E6314F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ordinateur ;</w:t>
      </w:r>
    </w:p>
    <w:p w14:paraId="19028091" w14:textId="77777777" w:rsidR="00E6314F" w:rsidRPr="00E6314F" w:rsidRDefault="00E6314F" w:rsidP="00E6314F">
      <w:pPr>
        <w:numPr>
          <w:ilvl w:val="0"/>
          <w:numId w:val="13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bornes publiques sécurisées.</w:t>
      </w:r>
    </w:p>
    <w:p w14:paraId="100AF772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4 — Alternative non numérique</w:t>
      </w:r>
    </w:p>
    <w:p w14:paraId="0FC38FCF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Un système non numérique équivalent est maintenu en tout temps, avec intégration des résultats dans le même processus de validation.</w:t>
      </w:r>
    </w:p>
    <w:p w14:paraId="5C709EF0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5 — Horaires</w:t>
      </w:r>
    </w:p>
    <w:p w14:paraId="678E3381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La plateforme n’est active que durant les heures prévues par la Constitution :</w:t>
      </w:r>
      <w:r w:rsidRPr="00E6314F">
        <w:rPr>
          <w:rFonts w:ascii="Arial" w:hAnsi="Arial" w:cs="Arial"/>
          <w:b/>
          <w:bCs/>
          <w:sz w:val="24"/>
          <w:szCs w:val="24"/>
          <w:lang w:val="fr-CA"/>
        </w:rPr>
        <w:br/>
        <w:t>7 h 00 à 16 h 00.</w:t>
      </w:r>
    </w:p>
    <w:p w14:paraId="555ABF4B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pict w14:anchorId="363A5DCF">
          <v:rect id="_x0000_i1157" style="width:0;height:1.5pt" o:hralign="center" o:hrstd="t" o:hr="t" fillcolor="#a0a0a0" stroked="f"/>
        </w:pict>
      </w:r>
    </w:p>
    <w:p w14:paraId="15697B83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II</w:t>
      </w:r>
    </w:p>
    <w:p w14:paraId="0AB40D36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SUR LA SÉCURITÉ DU VOTE</w:t>
      </w:r>
    </w:p>
    <w:p w14:paraId="386B8212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6 — Identification</w:t>
      </w:r>
    </w:p>
    <w:p w14:paraId="0F69C1E3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L’identification citoyenne repose sur des mécanismes multi-facteurs validés par une autorité indépendante.</w:t>
      </w:r>
    </w:p>
    <w:p w14:paraId="673FD0AB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7 — Séparation des fonctions</w:t>
      </w:r>
    </w:p>
    <w:p w14:paraId="16351A99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Les fonctions suivantes sont strictement séparées :</w:t>
      </w:r>
    </w:p>
    <w:p w14:paraId="0E4A1755" w14:textId="77777777" w:rsidR="00E6314F" w:rsidRPr="00E6314F" w:rsidRDefault="00E6314F" w:rsidP="00E6314F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identification ;</w:t>
      </w:r>
    </w:p>
    <w:p w14:paraId="4B6DD0C0" w14:textId="77777777" w:rsidR="00E6314F" w:rsidRPr="00E6314F" w:rsidRDefault="00E6314F" w:rsidP="00E6314F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expression du vote ;</w:t>
      </w:r>
    </w:p>
    <w:p w14:paraId="4EEE2A6B" w14:textId="77777777" w:rsidR="00E6314F" w:rsidRPr="00E6314F" w:rsidRDefault="00E6314F" w:rsidP="00E6314F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comptabilisation ;</w:t>
      </w:r>
    </w:p>
    <w:p w14:paraId="21DE2E74" w14:textId="77777777" w:rsidR="00E6314F" w:rsidRPr="00E6314F" w:rsidRDefault="00E6314F" w:rsidP="00E6314F">
      <w:pPr>
        <w:numPr>
          <w:ilvl w:val="0"/>
          <w:numId w:val="14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publication des résultats.</w:t>
      </w:r>
    </w:p>
    <w:p w14:paraId="63A8DAFA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8 — Journalisation</w:t>
      </w:r>
    </w:p>
    <w:p w14:paraId="5FE5838F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Toute opération est journalisée de manière inviolable et vérifiable.</w:t>
      </w:r>
    </w:p>
    <w:p w14:paraId="02F4DD85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9 — Audits</w:t>
      </w:r>
    </w:p>
    <w:p w14:paraId="06E2DF42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Des audits indépendants et citoyens sont effectués régulièrement et publiés.</w:t>
      </w:r>
    </w:p>
    <w:p w14:paraId="489B9356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pict w14:anchorId="782DA1BE">
          <v:rect id="_x0000_i1158" style="width:0;height:1.5pt" o:hralign="center" o:hrstd="t" o:hr="t" fillcolor="#a0a0a0" stroked="f"/>
        </w:pict>
      </w:r>
    </w:p>
    <w:p w14:paraId="13702918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III</w:t>
      </w:r>
    </w:p>
    <w:p w14:paraId="50E546A0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SUR LA PUBLICATION DE L’INFORMATION DÉMOCRATIQUE</w:t>
      </w:r>
    </w:p>
    <w:p w14:paraId="06D337DA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10 — Dossier de décision</w:t>
      </w:r>
    </w:p>
    <w:p w14:paraId="701263DC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Tout vote est accompagné d’un dossier public comprenant :</w:t>
      </w:r>
    </w:p>
    <w:p w14:paraId="0C8DDB92" w14:textId="77777777" w:rsidR="00E6314F" w:rsidRPr="00E6314F" w:rsidRDefault="00E6314F" w:rsidP="00E6314F">
      <w:pPr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objet clair ;</w:t>
      </w:r>
    </w:p>
    <w:p w14:paraId="392D3234" w14:textId="77777777" w:rsidR="00E6314F" w:rsidRPr="00E6314F" w:rsidRDefault="00E6314F" w:rsidP="00E6314F">
      <w:pPr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options possibles ;</w:t>
      </w:r>
    </w:p>
    <w:p w14:paraId="15EBB748" w14:textId="77777777" w:rsidR="00E6314F" w:rsidRPr="00E6314F" w:rsidRDefault="00E6314F" w:rsidP="00E6314F">
      <w:pPr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impacts positifs et négatifs ;</w:t>
      </w:r>
    </w:p>
    <w:p w14:paraId="0EE2F616" w14:textId="77777777" w:rsidR="00E6314F" w:rsidRPr="00E6314F" w:rsidRDefault="00E6314F" w:rsidP="00E6314F">
      <w:pPr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sources utilisées ;</w:t>
      </w:r>
    </w:p>
    <w:p w14:paraId="340774EC" w14:textId="77777777" w:rsidR="00E6314F" w:rsidRPr="00E6314F" w:rsidRDefault="00E6314F" w:rsidP="00E6314F">
      <w:pPr>
        <w:numPr>
          <w:ilvl w:val="0"/>
          <w:numId w:val="15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responsables.</w:t>
      </w:r>
    </w:p>
    <w:p w14:paraId="1D1D4DCA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11 — Format clair</w:t>
      </w:r>
    </w:p>
    <w:p w14:paraId="083DFFE0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Les informations sont présentées :</w:t>
      </w:r>
    </w:p>
    <w:p w14:paraId="4D8DDE69" w14:textId="77777777" w:rsidR="00E6314F" w:rsidRPr="00E6314F" w:rsidRDefault="00E6314F" w:rsidP="00E6314F">
      <w:pPr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en langage simple ;</w:t>
      </w:r>
    </w:p>
    <w:p w14:paraId="569A3829" w14:textId="77777777" w:rsidR="00E6314F" w:rsidRPr="00E6314F" w:rsidRDefault="00E6314F" w:rsidP="00E6314F">
      <w:pPr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sans jargon inutile ;</w:t>
      </w:r>
    </w:p>
    <w:p w14:paraId="75696AD0" w14:textId="77777777" w:rsidR="00E6314F" w:rsidRPr="00E6314F" w:rsidRDefault="00E6314F" w:rsidP="00E6314F">
      <w:pPr>
        <w:numPr>
          <w:ilvl w:val="0"/>
          <w:numId w:val="16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avec une version synthèse et une version détaillée.</w:t>
      </w:r>
    </w:p>
    <w:p w14:paraId="6833994F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12 — Mises à jour</w:t>
      </w:r>
    </w:p>
    <w:p w14:paraId="1E8D4D55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Toute information modifiée est historisée et datée.</w:t>
      </w:r>
    </w:p>
    <w:p w14:paraId="2DDC835B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pict w14:anchorId="09A2E42C">
          <v:rect id="_x0000_i1159" style="width:0;height:1.5pt" o:hralign="center" o:hrstd="t" o:hr="t" fillcolor="#a0a0a0" stroked="f"/>
        </w:pict>
      </w:r>
    </w:p>
    <w:p w14:paraId="7FA80CDA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IV</w:t>
      </w:r>
    </w:p>
    <w:p w14:paraId="6D01FC61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SUR LES COMMUNICATIONS PUBLIQUES</w:t>
      </w:r>
    </w:p>
    <w:p w14:paraId="003C18BE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13 — Format obligatoire de réponse</w:t>
      </w:r>
    </w:p>
    <w:p w14:paraId="1C8DDC1C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Toute réponse publique suit l’ordre :</w:t>
      </w:r>
    </w:p>
    <w:p w14:paraId="0941E2A9" w14:textId="77777777" w:rsidR="00E6314F" w:rsidRPr="00E6314F" w:rsidRDefault="00E6314F" w:rsidP="00E6314F">
      <w:pPr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réponse directe ;</w:t>
      </w:r>
    </w:p>
    <w:p w14:paraId="3FA13002" w14:textId="77777777" w:rsidR="00E6314F" w:rsidRPr="00E6314F" w:rsidRDefault="00E6314F" w:rsidP="00E6314F">
      <w:pPr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faits ;</w:t>
      </w:r>
    </w:p>
    <w:p w14:paraId="25BB8290" w14:textId="77777777" w:rsidR="00E6314F" w:rsidRPr="00E6314F" w:rsidRDefault="00E6314F" w:rsidP="00E6314F">
      <w:pPr>
        <w:numPr>
          <w:ilvl w:val="0"/>
          <w:numId w:val="17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contexte.</w:t>
      </w:r>
    </w:p>
    <w:p w14:paraId="258C8CE1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14 — Interdictions</w:t>
      </w:r>
    </w:p>
    <w:p w14:paraId="1C0560EB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Sont interdits :</w:t>
      </w:r>
    </w:p>
    <w:p w14:paraId="1563CE4C" w14:textId="77777777" w:rsidR="00E6314F" w:rsidRPr="00E6314F" w:rsidRDefault="00E6314F" w:rsidP="00E6314F">
      <w:pPr>
        <w:numPr>
          <w:ilvl w:val="0"/>
          <w:numId w:val="18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slogans ;</w:t>
      </w:r>
    </w:p>
    <w:p w14:paraId="30EDF28E" w14:textId="77777777" w:rsidR="00E6314F" w:rsidRPr="00E6314F" w:rsidRDefault="00E6314F" w:rsidP="00E6314F">
      <w:pPr>
        <w:numPr>
          <w:ilvl w:val="0"/>
          <w:numId w:val="18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récits émotionnels ;</w:t>
      </w:r>
    </w:p>
    <w:p w14:paraId="337F0D39" w14:textId="77777777" w:rsidR="00E6314F" w:rsidRPr="00E6314F" w:rsidRDefault="00E6314F" w:rsidP="00E6314F">
      <w:pPr>
        <w:numPr>
          <w:ilvl w:val="0"/>
          <w:numId w:val="18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détournements de question ;</w:t>
      </w:r>
    </w:p>
    <w:p w14:paraId="2C2B232B" w14:textId="77777777" w:rsidR="00E6314F" w:rsidRPr="00E6314F" w:rsidRDefault="00E6314F" w:rsidP="00E6314F">
      <w:pPr>
        <w:numPr>
          <w:ilvl w:val="0"/>
          <w:numId w:val="18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langage flou.</w:t>
      </w:r>
    </w:p>
    <w:p w14:paraId="0DF0EBD6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15 — Rectifications</w:t>
      </w:r>
    </w:p>
    <w:p w14:paraId="6E942198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Les corrections sont publiées avec la même visibilité que l’information initiale.</w:t>
      </w:r>
    </w:p>
    <w:p w14:paraId="43D9AE8B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pict w14:anchorId="4918200F">
          <v:rect id="_x0000_i1160" style="width:0;height:1.5pt" o:hralign="center" o:hrstd="t" o:hr="t" fillcolor="#a0a0a0" stroked="f"/>
        </w:pict>
      </w:r>
    </w:p>
    <w:p w14:paraId="1109DABF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V</w:t>
      </w:r>
    </w:p>
    <w:p w14:paraId="42199978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SUR LES REGISTRES PUBLICS</w:t>
      </w:r>
    </w:p>
    <w:p w14:paraId="6B216064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16 — Registre des décisions</w:t>
      </w:r>
    </w:p>
    <w:p w14:paraId="7A7BC753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Un registre public central consigne toutes les décisions publiques majeures.</w:t>
      </w:r>
    </w:p>
    <w:p w14:paraId="799AA3AD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17 — Registre des influences</w:t>
      </w:r>
    </w:p>
    <w:p w14:paraId="3C860CAC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Toute tentative d’influence déclarée est inscrite dans un registre public.</w:t>
      </w:r>
    </w:p>
    <w:p w14:paraId="7DA100D1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18 — Registre des contrats</w:t>
      </w:r>
    </w:p>
    <w:p w14:paraId="24A94611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Les contrats publics, modifications et dépassements sont publiés intégralement.</w:t>
      </w:r>
    </w:p>
    <w:p w14:paraId="0CF1C2A3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pict w14:anchorId="3D92C281">
          <v:rect id="_x0000_i1161" style="width:0;height:1.5pt" o:hralign="center" o:hrstd="t" o:hr="t" fillcolor="#a0a0a0" stroked="f"/>
        </w:pict>
      </w:r>
    </w:p>
    <w:p w14:paraId="31C48D21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VI</w:t>
      </w:r>
    </w:p>
    <w:p w14:paraId="5C670161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SUR LA TRANSPARENCE ET LA CONFIDENTIALITÉ</w:t>
      </w:r>
    </w:p>
    <w:p w14:paraId="76ACD0A2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19 — Justification écrite</w:t>
      </w:r>
    </w:p>
    <w:p w14:paraId="5ECCD45B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Toute restriction d’accès à l’information doit être justifiée par écrit.</w:t>
      </w:r>
    </w:p>
    <w:p w14:paraId="72FB8A7C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20 — Durée limitée</w:t>
      </w:r>
    </w:p>
    <w:p w14:paraId="36FCB8AC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Toute restriction comporte une date de fin automatique.</w:t>
      </w:r>
    </w:p>
    <w:p w14:paraId="1845819E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21 — Révision</w:t>
      </w:r>
    </w:p>
    <w:p w14:paraId="3D8A49CA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Les restrictions sont révisées périodiquement par une autorité indépendante.</w:t>
      </w:r>
    </w:p>
    <w:p w14:paraId="7D3D977B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pict w14:anchorId="423CADA6">
          <v:rect id="_x0000_i1162" style="width:0;height:1.5pt" o:hralign="center" o:hrstd="t" o:hr="t" fillcolor="#a0a0a0" stroked="f"/>
        </w:pict>
      </w:r>
    </w:p>
    <w:p w14:paraId="3EE9465D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RÈGLEMENT VII</w:t>
      </w:r>
    </w:p>
    <w:p w14:paraId="163D4138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SUR LES CONTRATS PUBLICS</w:t>
      </w:r>
    </w:p>
    <w:p w14:paraId="46FBB63E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22 — Procédures</w:t>
      </w:r>
    </w:p>
    <w:p w14:paraId="418B4B81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Les appels d’offres suivent des critères objectifs et publiés à l’avance.</w:t>
      </w:r>
    </w:p>
    <w:p w14:paraId="17DC6BAF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23 — Bénéficiaires ultimes</w:t>
      </w:r>
    </w:p>
    <w:p w14:paraId="7E1BC78D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La divulgation des bénéficiaires ultimes est obligatoire.</w:t>
      </w:r>
    </w:p>
    <w:p w14:paraId="0AC36828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24 — Sécurité contractuelle</w:t>
      </w:r>
    </w:p>
    <w:p w14:paraId="057F8ACB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Les clauses de confidentialité abusives sont interdites.</w:t>
      </w:r>
    </w:p>
    <w:p w14:paraId="08FC536F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pict w14:anchorId="2CDE8A87">
          <v:rect id="_x0000_i1163" style="width:0;height:1.5pt" o:hralign="center" o:hrstd="t" o:hr="t" fillcolor="#a0a0a0" stroked="f"/>
        </w:pict>
      </w:r>
    </w:p>
    <w:p w14:paraId="531979F4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VIII</w:t>
      </w:r>
    </w:p>
    <w:p w14:paraId="13685B10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SUR LA BANQUE NATIONALE DU QUÉBEC</w:t>
      </w:r>
    </w:p>
    <w:p w14:paraId="257A2AFD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25 — Séparation des systèmes</w:t>
      </w:r>
    </w:p>
    <w:p w14:paraId="5ACFEBE6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Les systèmes de :</w:t>
      </w:r>
    </w:p>
    <w:p w14:paraId="7599B509" w14:textId="77777777" w:rsidR="00E6314F" w:rsidRPr="00E6314F" w:rsidRDefault="00E6314F" w:rsidP="00E6314F">
      <w:pPr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dépôt ;</w:t>
      </w:r>
    </w:p>
    <w:p w14:paraId="24C31C59" w14:textId="77777777" w:rsidR="00E6314F" w:rsidRPr="00E6314F" w:rsidRDefault="00E6314F" w:rsidP="00E6314F">
      <w:pPr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autorisation ;</w:t>
      </w:r>
    </w:p>
    <w:p w14:paraId="6C234265" w14:textId="77777777" w:rsidR="00E6314F" w:rsidRPr="00E6314F" w:rsidRDefault="00E6314F" w:rsidP="00E6314F">
      <w:pPr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paiement ;</w:t>
      </w:r>
    </w:p>
    <w:p w14:paraId="1FB70226" w14:textId="77777777" w:rsidR="00E6314F" w:rsidRPr="00E6314F" w:rsidRDefault="00E6314F" w:rsidP="00E6314F">
      <w:pPr>
        <w:numPr>
          <w:ilvl w:val="0"/>
          <w:numId w:val="19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audit</w:t>
      </w:r>
      <w:r w:rsidRPr="00E6314F">
        <w:rPr>
          <w:rFonts w:ascii="Arial" w:hAnsi="Arial" w:cs="Arial"/>
          <w:b/>
          <w:bCs/>
          <w:sz w:val="24"/>
          <w:szCs w:val="24"/>
          <w:lang w:val="fr-CA"/>
        </w:rPr>
        <w:br/>
        <w:t>sont strictement séparés.</w:t>
      </w:r>
    </w:p>
    <w:p w14:paraId="4ADA1D2F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26 — Validation multiple</w:t>
      </w:r>
    </w:p>
    <w:p w14:paraId="2C9E6273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Aucune transaction majeure ne peut être exécutée sans validations multiples.</w:t>
      </w:r>
    </w:p>
    <w:p w14:paraId="5333AF77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27 — Journal financier</w:t>
      </w:r>
    </w:p>
    <w:p w14:paraId="00DF5255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Toutes les opérations sont enregistrées dans un journal inviolable.</w:t>
      </w:r>
    </w:p>
    <w:p w14:paraId="12664226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pict w14:anchorId="707532FC">
          <v:rect id="_x0000_i1164" style="width:0;height:1.5pt" o:hralign="center" o:hrstd="t" o:hr="t" fillcolor="#a0a0a0" stroked="f"/>
        </w:pict>
      </w:r>
    </w:p>
    <w:p w14:paraId="78047947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IX</w:t>
      </w:r>
    </w:p>
    <w:p w14:paraId="5EAD9D74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SUR LA LUTTE CONTRE L’ABUS ET LE CONTournEMENT</w:t>
      </w:r>
    </w:p>
    <w:p w14:paraId="457E48BA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28 — Détection</w:t>
      </w:r>
    </w:p>
    <w:p w14:paraId="18B8DC64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Des mécanismes automatiques et humains détectent :</w:t>
      </w:r>
    </w:p>
    <w:p w14:paraId="06EBB37C" w14:textId="77777777" w:rsidR="00E6314F" w:rsidRPr="00E6314F" w:rsidRDefault="00E6314F" w:rsidP="00E6314F">
      <w:pPr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contournements ;</w:t>
      </w:r>
    </w:p>
    <w:p w14:paraId="1B5156A5" w14:textId="77777777" w:rsidR="00E6314F" w:rsidRPr="00E6314F" w:rsidRDefault="00E6314F" w:rsidP="00E6314F">
      <w:pPr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abus procéduraux ;</w:t>
      </w:r>
    </w:p>
    <w:p w14:paraId="1A75AD11" w14:textId="77777777" w:rsidR="00E6314F" w:rsidRPr="00E6314F" w:rsidRDefault="00E6314F" w:rsidP="00E6314F">
      <w:pPr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tentatives de manipulation.</w:t>
      </w:r>
    </w:p>
    <w:p w14:paraId="2F7D36B3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29 — Suspension préventive</w:t>
      </w:r>
    </w:p>
    <w:p w14:paraId="71A83C7A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Toute mesure suspecte peut être suspendue préventivement.</w:t>
      </w:r>
    </w:p>
    <w:p w14:paraId="5E251126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30 — Transmission</w:t>
      </w:r>
    </w:p>
    <w:p w14:paraId="4F0FD052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Les cas graves sont transmis aux autorités compétentes.</w:t>
      </w:r>
    </w:p>
    <w:p w14:paraId="2CB7BABF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pict w14:anchorId="5B31D47F">
          <v:rect id="_x0000_i1165" style="width:0;height:1.5pt" o:hralign="center" o:hrstd="t" o:hr="t" fillcolor="#a0a0a0" stroked="f"/>
        </w:pict>
      </w:r>
    </w:p>
    <w:p w14:paraId="1F840CE0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X</w:t>
      </w:r>
    </w:p>
    <w:p w14:paraId="27EEBEE6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RÈGLEMENT SUR L’ARCHIVAGE ET LA MÉMOIRE PUBLIQUE</w:t>
      </w:r>
    </w:p>
    <w:p w14:paraId="0D1E4903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31 — Archivage</w:t>
      </w:r>
    </w:p>
    <w:p w14:paraId="5DE3A831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Toute décision, information et vote est archivé durablement.</w:t>
      </w:r>
    </w:p>
    <w:p w14:paraId="01B8512C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32 — Accès public</w:t>
      </w:r>
    </w:p>
    <w:p w14:paraId="170EB1A5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Les archives sont accessibles au public, sauf exceptions prévues par la loi.</w:t>
      </w:r>
    </w:p>
    <w:p w14:paraId="29C1C450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pict w14:anchorId="21B1FC28">
          <v:rect id="_x0000_i1166" style="width:0;height:1.5pt" o:hralign="center" o:hrstd="t" o:hr="t" fillcolor="#a0a0a0" stroked="f"/>
        </w:pict>
      </w:r>
    </w:p>
    <w:p w14:paraId="0994F27B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DISPOSITIONS FINALES</w:t>
      </w:r>
    </w:p>
    <w:p w14:paraId="3226FBC0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33 — Subordination</w:t>
      </w:r>
    </w:p>
    <w:p w14:paraId="1C94CEE4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Les règlements sont strictement subordonnés :</w:t>
      </w:r>
    </w:p>
    <w:p w14:paraId="13D1C803" w14:textId="77777777" w:rsidR="00E6314F" w:rsidRPr="00E6314F" w:rsidRDefault="00E6314F" w:rsidP="00E6314F">
      <w:pPr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à la Constitution ;</w:t>
      </w:r>
    </w:p>
    <w:p w14:paraId="71F2E3FE" w14:textId="77777777" w:rsidR="00E6314F" w:rsidRPr="00E6314F" w:rsidRDefault="00E6314F" w:rsidP="00E6314F">
      <w:pPr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aux lois organiques ;</w:t>
      </w:r>
    </w:p>
    <w:p w14:paraId="0E217D5D" w14:textId="77777777" w:rsidR="00E6314F" w:rsidRPr="00E6314F" w:rsidRDefault="00E6314F" w:rsidP="00E6314F">
      <w:pPr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aux lois ordinaires.</w:t>
      </w:r>
    </w:p>
    <w:p w14:paraId="35D31674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Article 34 — Nullité</w:t>
      </w:r>
    </w:p>
    <w:p w14:paraId="7E11266B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Tout règlement créant une obligation nouvelle ou contournant la loi est nul.</w:t>
      </w:r>
    </w:p>
    <w:p w14:paraId="72FBE59B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lastRenderedPageBreak/>
        <w:t>Article 35 — Révision</w:t>
      </w:r>
    </w:p>
    <w:p w14:paraId="44A46C8F" w14:textId="77777777" w:rsidR="00E6314F" w:rsidRPr="00E6314F" w:rsidRDefault="00E6314F" w:rsidP="00E6314F">
      <w:pPr>
        <w:rPr>
          <w:rFonts w:ascii="Arial" w:hAnsi="Arial" w:cs="Arial"/>
          <w:b/>
          <w:bCs/>
          <w:sz w:val="24"/>
          <w:szCs w:val="24"/>
          <w:lang w:val="fr-CA"/>
        </w:rPr>
      </w:pPr>
      <w:r w:rsidRPr="00E6314F">
        <w:rPr>
          <w:rFonts w:ascii="Arial" w:hAnsi="Arial" w:cs="Arial"/>
          <w:b/>
          <w:bCs/>
          <w:sz w:val="24"/>
          <w:szCs w:val="24"/>
          <w:lang w:val="fr-CA"/>
        </w:rPr>
        <w:t>Les règlements sont révisés périodiquement pour conformité démocratique.</w:t>
      </w:r>
    </w:p>
    <w:p w14:paraId="5DD020E1" w14:textId="72FAC5F6" w:rsidR="002A79F7" w:rsidRPr="00E6314F" w:rsidRDefault="002A79F7" w:rsidP="00E6314F">
      <w:pPr>
        <w:rPr>
          <w:rFonts w:ascii="Arial" w:hAnsi="Arial" w:cs="Arial"/>
          <w:sz w:val="24"/>
          <w:szCs w:val="24"/>
          <w:lang w:val="fr-CA"/>
        </w:rPr>
      </w:pPr>
    </w:p>
    <w:sectPr w:rsidR="002A79F7" w:rsidRPr="00E631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67054"/>
    <w:multiLevelType w:val="multilevel"/>
    <w:tmpl w:val="2188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E0EE6"/>
    <w:multiLevelType w:val="multilevel"/>
    <w:tmpl w:val="6470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6F006C"/>
    <w:multiLevelType w:val="multilevel"/>
    <w:tmpl w:val="C72C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A808B2"/>
    <w:multiLevelType w:val="multilevel"/>
    <w:tmpl w:val="7086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4C3243"/>
    <w:multiLevelType w:val="multilevel"/>
    <w:tmpl w:val="0280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7543"/>
    <w:multiLevelType w:val="multilevel"/>
    <w:tmpl w:val="D9E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05B5"/>
    <w:multiLevelType w:val="multilevel"/>
    <w:tmpl w:val="252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16C74"/>
    <w:multiLevelType w:val="multilevel"/>
    <w:tmpl w:val="FEE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63135"/>
    <w:multiLevelType w:val="multilevel"/>
    <w:tmpl w:val="E1E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4324B"/>
    <w:multiLevelType w:val="multilevel"/>
    <w:tmpl w:val="297E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BB27CA"/>
    <w:multiLevelType w:val="multilevel"/>
    <w:tmpl w:val="40DA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2E16E6"/>
    <w:multiLevelType w:val="multilevel"/>
    <w:tmpl w:val="5BAE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831515">
    <w:abstractNumId w:val="8"/>
  </w:num>
  <w:num w:numId="2" w16cid:durableId="578638157">
    <w:abstractNumId w:val="6"/>
  </w:num>
  <w:num w:numId="3" w16cid:durableId="496502304">
    <w:abstractNumId w:val="5"/>
  </w:num>
  <w:num w:numId="4" w16cid:durableId="85005780">
    <w:abstractNumId w:val="4"/>
  </w:num>
  <w:num w:numId="5" w16cid:durableId="45029344">
    <w:abstractNumId w:val="7"/>
  </w:num>
  <w:num w:numId="6" w16cid:durableId="261030696">
    <w:abstractNumId w:val="3"/>
  </w:num>
  <w:num w:numId="7" w16cid:durableId="2031447312">
    <w:abstractNumId w:val="2"/>
  </w:num>
  <w:num w:numId="8" w16cid:durableId="343089952">
    <w:abstractNumId w:val="1"/>
  </w:num>
  <w:num w:numId="9" w16cid:durableId="328799983">
    <w:abstractNumId w:val="0"/>
  </w:num>
  <w:num w:numId="10" w16cid:durableId="713120497">
    <w:abstractNumId w:val="9"/>
  </w:num>
  <w:num w:numId="11" w16cid:durableId="413093001">
    <w:abstractNumId w:val="14"/>
  </w:num>
  <w:num w:numId="12" w16cid:durableId="1326663260">
    <w:abstractNumId w:val="11"/>
  </w:num>
  <w:num w:numId="13" w16cid:durableId="156501437">
    <w:abstractNumId w:val="20"/>
  </w:num>
  <w:num w:numId="14" w16cid:durableId="408969484">
    <w:abstractNumId w:val="18"/>
  </w:num>
  <w:num w:numId="15" w16cid:durableId="809833684">
    <w:abstractNumId w:val="19"/>
  </w:num>
  <w:num w:numId="16" w16cid:durableId="712076191">
    <w:abstractNumId w:val="17"/>
  </w:num>
  <w:num w:numId="17" w16cid:durableId="1792549120">
    <w:abstractNumId w:val="10"/>
  </w:num>
  <w:num w:numId="18" w16cid:durableId="1010572256">
    <w:abstractNumId w:val="16"/>
  </w:num>
  <w:num w:numId="19" w16cid:durableId="748771260">
    <w:abstractNumId w:val="13"/>
  </w:num>
  <w:num w:numId="20" w16cid:durableId="1174997579">
    <w:abstractNumId w:val="12"/>
  </w:num>
  <w:num w:numId="21" w16cid:durableId="135391430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E4"/>
    <w:rsid w:val="00034616"/>
    <w:rsid w:val="0006063C"/>
    <w:rsid w:val="0015074B"/>
    <w:rsid w:val="0029639D"/>
    <w:rsid w:val="002A79F7"/>
    <w:rsid w:val="00326F90"/>
    <w:rsid w:val="005C73F1"/>
    <w:rsid w:val="006950E0"/>
    <w:rsid w:val="00AA1D8D"/>
    <w:rsid w:val="00B47730"/>
    <w:rsid w:val="00B647E4"/>
    <w:rsid w:val="00CB0664"/>
    <w:rsid w:val="00E631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871522"/>
  <w14:defaultImageDpi w14:val="300"/>
  <w15:docId w15:val="{A931160A-794C-4FED-B271-CE179A0BB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736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Benoit Cantin</cp:lastModifiedBy>
  <cp:revision>4</cp:revision>
  <dcterms:created xsi:type="dcterms:W3CDTF">2013-12-23T23:15:00Z</dcterms:created>
  <dcterms:modified xsi:type="dcterms:W3CDTF">2025-12-27T17:24:00Z</dcterms:modified>
  <cp:category/>
</cp:coreProperties>
</file>