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15DB" w14:textId="77777777" w:rsidR="00BF68CF" w:rsidRPr="00BF68CF" w:rsidRDefault="00BF68CF" w:rsidP="00BF68CF">
      <w:pPr>
        <w:jc w:val="center"/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SCQ – OUTIL DE TRANSITION CONSTITUTIONNELLE</w:t>
      </w:r>
    </w:p>
    <w:p w14:paraId="77AD5157" w14:textId="77777777" w:rsidR="00BF68CF" w:rsidRDefault="00BF68CF" w:rsidP="00BF68CF">
      <w:pPr>
        <w:jc w:val="center"/>
        <w:rPr>
          <w:rFonts w:ascii="Arial" w:eastAsiaTheme="majorEastAsia" w:hAnsi="Arial" w:cs="Arial"/>
          <w:b/>
          <w:bCs/>
          <w:i/>
          <w:i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i/>
          <w:iCs/>
          <w:sz w:val="24"/>
          <w:szCs w:val="24"/>
          <w:lang w:val="fr-CA"/>
        </w:rPr>
        <w:t>(Régime transitoire de souveraineté démocratique du Québec)</w:t>
      </w:r>
    </w:p>
    <w:p w14:paraId="3FC540D0" w14:textId="0D544E2C" w:rsidR="00BF68CF" w:rsidRPr="00BF68CF" w:rsidRDefault="00BF68CF" w:rsidP="00BF68CF">
      <w:pPr>
        <w:jc w:val="center"/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47A2F5" wp14:editId="35437AF4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66E3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641FA088">
          <v:rect id="_x0000_i1168" style="width:0;height:1.5pt" o:hralign="center" o:hrstd="t" o:hr="t" fillcolor="#a0a0a0" stroked="f"/>
        </w:pict>
      </w:r>
    </w:p>
    <w:p w14:paraId="2A8E23BF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PRÉAMBULE</w:t>
      </w:r>
    </w:p>
    <w:p w14:paraId="29FE16FA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présent SCQ – Outil de transition constitutionnelle est institué afin d’assurer la continuité juridique, administrative et démocratique du Québec durant la période de transition menant à l’entrée en vigueur complète de la Constitution du Québec souverain et de l’ordre juridique permanent.</w:t>
      </w:r>
    </w:p>
    <w:p w14:paraId="13C43E54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est temporaire, strictement encadré, politiquement neutre, et ne peut en aucun cas devenir un pouvoir permanent, un parti politique ou une structure autonome.</w:t>
      </w:r>
    </w:p>
    <w:p w14:paraId="6A97D742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2C5E5B9F">
          <v:rect id="_x0000_i1169" style="width:0;height:1.5pt" o:hralign="center" o:hrstd="t" o:hr="t" fillcolor="#a0a0a0" stroked="f"/>
        </w:pict>
      </w:r>
    </w:p>
    <w:p w14:paraId="5E29E866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I — NATURE ET OBJET DU SCQ</w:t>
      </w:r>
    </w:p>
    <w:p w14:paraId="08C580B4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 — Nature transitoire</w:t>
      </w:r>
    </w:p>
    <w:p w14:paraId="1BE71F3B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est un instrument juridique temporaire ayant pour seule fonction d’organiser la transition vers l’ordre constitutionnel permanent.</w:t>
      </w:r>
    </w:p>
    <w:p w14:paraId="0CA5E9DC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 — Objet exclusif</w:t>
      </w:r>
    </w:p>
    <w:p w14:paraId="54096514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a pour objet :</w:t>
      </w:r>
    </w:p>
    <w:p w14:paraId="07778709" w14:textId="77777777" w:rsidR="00BF68CF" w:rsidRPr="00BF68CF" w:rsidRDefault="00BF68CF" w:rsidP="00BF68CF">
      <w:pPr>
        <w:numPr>
          <w:ilvl w:val="0"/>
          <w:numId w:val="2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d’assurer la continuité des services publics ;</w:t>
      </w:r>
    </w:p>
    <w:p w14:paraId="0F8424C9" w14:textId="77777777" w:rsidR="00BF68CF" w:rsidRPr="00BF68CF" w:rsidRDefault="00BF68CF" w:rsidP="00BF68CF">
      <w:pPr>
        <w:numPr>
          <w:ilvl w:val="0"/>
          <w:numId w:val="2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 mettre en place les institutions prévues par la Constitution ;</w:t>
      </w:r>
    </w:p>
    <w:p w14:paraId="5B83F58E" w14:textId="77777777" w:rsidR="00BF68CF" w:rsidRPr="00BF68CF" w:rsidRDefault="00BF68CF" w:rsidP="00BF68CF">
      <w:pPr>
        <w:numPr>
          <w:ilvl w:val="0"/>
          <w:numId w:val="2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 protéger l’intégrité du processus démocratique ;</w:t>
      </w:r>
    </w:p>
    <w:p w14:paraId="70702DD0" w14:textId="77777777" w:rsidR="00BF68CF" w:rsidRPr="00BF68CF" w:rsidRDefault="00BF68CF" w:rsidP="00BF68CF">
      <w:pPr>
        <w:numPr>
          <w:ilvl w:val="0"/>
          <w:numId w:val="2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d’empêcher toute captation du pouvoir durant la transition.</w:t>
      </w:r>
    </w:p>
    <w:p w14:paraId="1A9A6D9D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 — Absence de souveraineté propre</w:t>
      </w:r>
    </w:p>
    <w:p w14:paraId="316BECFD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Le SCQ ne détient aucune souveraineté.</w:t>
      </w: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Toute autorité qu’il exerce est déléguée, limitée et révocable par la population.</w:t>
      </w:r>
    </w:p>
    <w:p w14:paraId="146F6E4B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3AEDB0EA">
          <v:rect id="_x0000_i1170" style="width:0;height:1.5pt" o:hralign="center" o:hrstd="t" o:hr="t" fillcolor="#a0a0a0" stroked="f"/>
        </w:pict>
      </w:r>
    </w:p>
    <w:p w14:paraId="11E6F88F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II — PRINCIPES FONDAMENTAUX</w:t>
      </w:r>
    </w:p>
    <w:p w14:paraId="64DA3A19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4 — Subordination constitutionnelle</w:t>
      </w:r>
    </w:p>
    <w:p w14:paraId="22F3BB1C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est strictement subordonné :</w:t>
      </w:r>
    </w:p>
    <w:p w14:paraId="7B5DD578" w14:textId="77777777" w:rsidR="00BF68CF" w:rsidRPr="00BF68CF" w:rsidRDefault="00BF68CF" w:rsidP="00BF68CF">
      <w:pPr>
        <w:numPr>
          <w:ilvl w:val="0"/>
          <w:numId w:val="2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à la Constitution ;</w:t>
      </w:r>
    </w:p>
    <w:p w14:paraId="59D3548D" w14:textId="77777777" w:rsidR="00BF68CF" w:rsidRPr="00BF68CF" w:rsidRDefault="00BF68CF" w:rsidP="00BF68CF">
      <w:pPr>
        <w:numPr>
          <w:ilvl w:val="0"/>
          <w:numId w:val="2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à la souveraineté populaire ;</w:t>
      </w:r>
    </w:p>
    <w:p w14:paraId="1B5F9E16" w14:textId="77777777" w:rsidR="00BF68CF" w:rsidRPr="00BF68CF" w:rsidRDefault="00BF68CF" w:rsidP="00BF68CF">
      <w:pPr>
        <w:numPr>
          <w:ilvl w:val="0"/>
          <w:numId w:val="2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aux seuils démocratiques établis.</w:t>
      </w:r>
    </w:p>
    <w:p w14:paraId="3E4064F2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5 — Neutralité absolue</w:t>
      </w:r>
    </w:p>
    <w:p w14:paraId="476D5F2C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est soumis à une neutralité politique totale.</w:t>
      </w:r>
    </w:p>
    <w:p w14:paraId="49E8EADC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Il lui est interdit :</w:t>
      </w:r>
    </w:p>
    <w:p w14:paraId="0786C587" w14:textId="77777777" w:rsidR="00BF68CF" w:rsidRPr="00BF68CF" w:rsidRDefault="00BF68CF" w:rsidP="00BF68CF">
      <w:pPr>
        <w:numPr>
          <w:ilvl w:val="0"/>
          <w:numId w:val="2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d’orienter l’opinion publique ;</w:t>
      </w:r>
    </w:p>
    <w:p w14:paraId="58548A15" w14:textId="77777777" w:rsidR="00BF68CF" w:rsidRPr="00BF68CF" w:rsidRDefault="00BF68CF" w:rsidP="00BF68CF">
      <w:pPr>
        <w:numPr>
          <w:ilvl w:val="0"/>
          <w:numId w:val="2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 promouvoir une idéologie ;</w:t>
      </w:r>
    </w:p>
    <w:p w14:paraId="3E4230C1" w14:textId="77777777" w:rsidR="00BF68CF" w:rsidRPr="00BF68CF" w:rsidRDefault="00BF68CF" w:rsidP="00BF68CF">
      <w:pPr>
        <w:numPr>
          <w:ilvl w:val="0"/>
          <w:numId w:val="2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d’influencer un vote, directement ou indirectement.</w:t>
      </w:r>
    </w:p>
    <w:p w14:paraId="0C552FE3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6 — Interdiction de la langue de bois</w:t>
      </w:r>
    </w:p>
    <w:p w14:paraId="3B1ACDCA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communication du SCQ doit être :</w:t>
      </w:r>
    </w:p>
    <w:p w14:paraId="0E558C50" w14:textId="77777777" w:rsidR="00BF68CF" w:rsidRPr="00BF68CF" w:rsidRDefault="00BF68CF" w:rsidP="00BF68CF">
      <w:pPr>
        <w:numPr>
          <w:ilvl w:val="0"/>
          <w:numId w:val="25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claire ;</w:t>
      </w:r>
    </w:p>
    <w:p w14:paraId="02F488F2" w14:textId="77777777" w:rsidR="00BF68CF" w:rsidRPr="00BF68CF" w:rsidRDefault="00BF68CF" w:rsidP="00BF68CF">
      <w:pPr>
        <w:numPr>
          <w:ilvl w:val="0"/>
          <w:numId w:val="25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directe ;</w:t>
      </w:r>
    </w:p>
    <w:p w14:paraId="7A366202" w14:textId="77777777" w:rsidR="00BF68CF" w:rsidRPr="00BF68CF" w:rsidRDefault="00BF68CF" w:rsidP="00BF68CF">
      <w:pPr>
        <w:numPr>
          <w:ilvl w:val="0"/>
          <w:numId w:val="25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factuelle ;</w:t>
      </w:r>
    </w:p>
    <w:p w14:paraId="135AEC7B" w14:textId="77777777" w:rsidR="00BF68CF" w:rsidRPr="00BF68CF" w:rsidRDefault="00BF68CF" w:rsidP="00BF68CF">
      <w:pPr>
        <w:numPr>
          <w:ilvl w:val="0"/>
          <w:numId w:val="25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complète.</w:t>
      </w:r>
    </w:p>
    <w:p w14:paraId="222ED79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diversion, ambiguïté volontaire ou réponse hors sujet est interdite.</w:t>
      </w:r>
    </w:p>
    <w:p w14:paraId="7A10A7F2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7 — Obligation de réponse</w:t>
      </w:r>
    </w:p>
    <w:p w14:paraId="6C07D9AF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question d’intérêt public adressée au SCQ doit recevoir une réponse directe et pertinente.</w:t>
      </w:r>
    </w:p>
    <w:p w14:paraId="043708A3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pict w14:anchorId="4BA8C5CB">
          <v:rect id="_x0000_i1171" style="width:0;height:1.5pt" o:hralign="center" o:hrstd="t" o:hr="t" fillcolor="#a0a0a0" stroked="f"/>
        </w:pict>
      </w:r>
    </w:p>
    <w:p w14:paraId="4E5304A5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III — GOUVERNANCE TRANSITOIRE</w:t>
      </w:r>
    </w:p>
    <w:p w14:paraId="61E606F4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8 — Structure minimale</w:t>
      </w:r>
    </w:p>
    <w:p w14:paraId="50A5B6C0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fonctionne selon une structure réduite, strictement limitée aux besoins de transition.</w:t>
      </w:r>
    </w:p>
    <w:p w14:paraId="0060C41D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9 — Interdiction de concentration</w:t>
      </w:r>
    </w:p>
    <w:p w14:paraId="1B503047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Aucun individu, groupe ou organe du SCQ ne peut cumuler des fonctions incompatibles.</w:t>
      </w:r>
    </w:p>
    <w:p w14:paraId="6E58DFEB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10 — Interdiction de pérennisation</w:t>
      </w:r>
    </w:p>
    <w:p w14:paraId="62933793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Il est interdit :</w:t>
      </w:r>
    </w:p>
    <w:p w14:paraId="44C7F052" w14:textId="77777777" w:rsidR="00BF68CF" w:rsidRPr="00BF68CF" w:rsidRDefault="00BF68CF" w:rsidP="00BF68CF">
      <w:pPr>
        <w:numPr>
          <w:ilvl w:val="0"/>
          <w:numId w:val="26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 transformer le SCQ en institution permanente ;</w:t>
      </w:r>
    </w:p>
    <w:p w14:paraId="455B6589" w14:textId="77777777" w:rsidR="00BF68CF" w:rsidRPr="00BF68CF" w:rsidRDefault="00BF68CF" w:rsidP="00BF68CF">
      <w:pPr>
        <w:numPr>
          <w:ilvl w:val="0"/>
          <w:numId w:val="26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d’en faire un parti politique ;</w:t>
      </w:r>
    </w:p>
    <w:p w14:paraId="5E531A40" w14:textId="77777777" w:rsidR="00BF68CF" w:rsidRPr="00BF68CF" w:rsidRDefault="00BF68CF" w:rsidP="00BF68CF">
      <w:pPr>
        <w:numPr>
          <w:ilvl w:val="0"/>
          <w:numId w:val="26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d’en prolonger artificiellement l’existence.</w:t>
      </w:r>
    </w:p>
    <w:p w14:paraId="3522EF27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24B8CCD9">
          <v:rect id="_x0000_i1172" style="width:0;height:1.5pt" o:hralign="center" o:hrstd="t" o:hr="t" fillcolor="#a0a0a0" stroked="f"/>
        </w:pict>
      </w:r>
    </w:p>
    <w:p w14:paraId="183D8635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IV — DÉMOCRATIE TRANSITOIRE</w:t>
      </w:r>
    </w:p>
    <w:p w14:paraId="0B526D55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11 — Participation citoyenne</w:t>
      </w:r>
    </w:p>
    <w:p w14:paraId="743913B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Durant la transition, la population conserve :</w:t>
      </w:r>
    </w:p>
    <w:p w14:paraId="4CB567E2" w14:textId="77777777" w:rsidR="00BF68CF" w:rsidRPr="00BF68CF" w:rsidRDefault="00BF68CF" w:rsidP="00BF68CF">
      <w:pPr>
        <w:numPr>
          <w:ilvl w:val="0"/>
          <w:numId w:val="27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droit de vote ;</w:t>
      </w:r>
    </w:p>
    <w:p w14:paraId="665F293C" w14:textId="77777777" w:rsidR="00BF68CF" w:rsidRPr="00BF68CF" w:rsidRDefault="00BF68CF" w:rsidP="00BF68CF">
      <w:pPr>
        <w:numPr>
          <w:ilvl w:val="0"/>
          <w:numId w:val="27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droit d’initiative ;</w:t>
      </w:r>
    </w:p>
    <w:p w14:paraId="6BBDBE5B" w14:textId="77777777" w:rsidR="00BF68CF" w:rsidRPr="00BF68CF" w:rsidRDefault="00BF68CF" w:rsidP="00BF68CF">
      <w:pPr>
        <w:numPr>
          <w:ilvl w:val="0"/>
          <w:numId w:val="27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droit de contrôle.</w:t>
      </w:r>
    </w:p>
    <w:p w14:paraId="693CA7E9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12 — Seuil démocratique transitoire</w:t>
      </w:r>
    </w:p>
    <w:p w14:paraId="5702836A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modification du SCQ exige l’approbation de 60 % à 65 % de la population totale admissible.</w:t>
      </w:r>
    </w:p>
    <w:p w14:paraId="16785752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13 — Horaires démocratiques</w:t>
      </w:r>
    </w:p>
    <w:p w14:paraId="21BAA827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Aucun vote transitoire ne peut être tenu en dehors des heures publiques :</w:t>
      </w: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7 h 00 à 16 h 00.</w:t>
      </w:r>
    </w:p>
    <w:p w14:paraId="10D19EF6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60975AFA">
          <v:rect id="_x0000_i1173" style="width:0;height:1.5pt" o:hralign="center" o:hrstd="t" o:hr="t" fillcolor="#a0a0a0" stroked="f"/>
        </w:pict>
      </w:r>
    </w:p>
    <w:p w14:paraId="54CBFF16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TITRE V — PROTECTION CONTRE LES ABUS</w:t>
      </w:r>
    </w:p>
    <w:p w14:paraId="3105BFEA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14 — Interdiction des lois omnibus</w:t>
      </w:r>
    </w:p>
    <w:p w14:paraId="44A0547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mesure transitoire doit porter sur un seul objet.</w:t>
      </w:r>
    </w:p>
    <w:p w14:paraId="55D4441F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15 — Interdiction du bâillon</w:t>
      </w:r>
    </w:p>
    <w:p w14:paraId="4B4647A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limitation artificielle du débat est interdite.</w:t>
      </w:r>
    </w:p>
    <w:p w14:paraId="6236DAAE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16 — Interdiction de l’urgence fabriquée</w:t>
      </w:r>
    </w:p>
    <w:p w14:paraId="6D703454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invocation d’urgence doit être :</w:t>
      </w:r>
    </w:p>
    <w:p w14:paraId="049462AB" w14:textId="77777777" w:rsidR="00BF68CF" w:rsidRPr="00BF68CF" w:rsidRDefault="00BF68CF" w:rsidP="00BF68CF">
      <w:pPr>
        <w:numPr>
          <w:ilvl w:val="0"/>
          <w:numId w:val="2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réelle ;</w:t>
      </w:r>
    </w:p>
    <w:p w14:paraId="4B9A002E" w14:textId="77777777" w:rsidR="00BF68CF" w:rsidRPr="00BF68CF" w:rsidRDefault="00BF68CF" w:rsidP="00BF68CF">
      <w:pPr>
        <w:numPr>
          <w:ilvl w:val="0"/>
          <w:numId w:val="2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documentée ;</w:t>
      </w:r>
    </w:p>
    <w:p w14:paraId="6E05B82E" w14:textId="77777777" w:rsidR="00BF68CF" w:rsidRPr="00BF68CF" w:rsidRDefault="00BF68CF" w:rsidP="00BF68CF">
      <w:pPr>
        <w:numPr>
          <w:ilvl w:val="0"/>
          <w:numId w:val="2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temporaire ;</w:t>
      </w:r>
    </w:p>
    <w:p w14:paraId="6C77A3E3" w14:textId="77777777" w:rsidR="00BF68CF" w:rsidRPr="00BF68CF" w:rsidRDefault="00BF68CF" w:rsidP="00BF68CF">
      <w:pPr>
        <w:numPr>
          <w:ilvl w:val="0"/>
          <w:numId w:val="2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validée par la population.</w:t>
      </w:r>
    </w:p>
    <w:p w14:paraId="44D719F3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298A00DD">
          <v:rect id="_x0000_i1174" style="width:0;height:1.5pt" o:hralign="center" o:hrstd="t" o:hr="t" fillcolor="#a0a0a0" stroked="f"/>
        </w:pict>
      </w:r>
    </w:p>
    <w:p w14:paraId="0B0B5B1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VI — TRANSPARENCE ET TRAÇABILITÉ</w:t>
      </w:r>
    </w:p>
    <w:p w14:paraId="4DB16235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17 — Transparence par défaut</w:t>
      </w:r>
    </w:p>
    <w:p w14:paraId="29116C96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information détenue par le SCQ est publique, sauf exception strictement motivée et temporaire.</w:t>
      </w:r>
    </w:p>
    <w:p w14:paraId="1C7F8E76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18 — Registres publics</w:t>
      </w:r>
    </w:p>
    <w:p w14:paraId="648901C8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tient des registres publics concernant :</w:t>
      </w:r>
    </w:p>
    <w:p w14:paraId="77164958" w14:textId="77777777" w:rsidR="00BF68CF" w:rsidRPr="00BF68CF" w:rsidRDefault="00BF68CF" w:rsidP="00BF68CF">
      <w:pPr>
        <w:numPr>
          <w:ilvl w:val="0"/>
          <w:numId w:val="2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décisions ;</w:t>
      </w:r>
    </w:p>
    <w:p w14:paraId="2D08A031" w14:textId="77777777" w:rsidR="00BF68CF" w:rsidRPr="00BF68CF" w:rsidRDefault="00BF68CF" w:rsidP="00BF68CF">
      <w:pPr>
        <w:numPr>
          <w:ilvl w:val="0"/>
          <w:numId w:val="2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dépenses ;</w:t>
      </w:r>
    </w:p>
    <w:p w14:paraId="3EF64EF1" w14:textId="77777777" w:rsidR="00BF68CF" w:rsidRPr="00BF68CF" w:rsidRDefault="00BF68CF" w:rsidP="00BF68CF">
      <w:pPr>
        <w:numPr>
          <w:ilvl w:val="0"/>
          <w:numId w:val="2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contrats ;</w:t>
      </w:r>
    </w:p>
    <w:p w14:paraId="0A3F56E9" w14:textId="77777777" w:rsidR="00BF68CF" w:rsidRPr="00BF68CF" w:rsidRDefault="00BF68CF" w:rsidP="00BF68CF">
      <w:pPr>
        <w:numPr>
          <w:ilvl w:val="0"/>
          <w:numId w:val="2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communications officielles.</w:t>
      </w:r>
    </w:p>
    <w:p w14:paraId="3AF5D694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19 — Secret interdit</w:t>
      </w:r>
    </w:p>
    <w:p w14:paraId="0435AC82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secret visant à éviter un contrôle démocratique est interdit.</w:t>
      </w:r>
    </w:p>
    <w:p w14:paraId="1A27A84F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2E4FE22C">
          <v:rect id="_x0000_i1175" style="width:0;height:1.5pt" o:hralign="center" o:hrstd="t" o:hr="t" fillcolor="#a0a0a0" stroked="f"/>
        </w:pict>
      </w:r>
    </w:p>
    <w:p w14:paraId="7E709133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TITRE VII — FINANCES TRANSITOIRES</w:t>
      </w:r>
    </w:p>
    <w:p w14:paraId="3F7F3BB3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20 — Fonds publics</w:t>
      </w:r>
    </w:p>
    <w:p w14:paraId="0F222AB5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Tous les fonds publics durant la transition sont déposés à la Banque nationale du Québec.</w:t>
      </w:r>
    </w:p>
    <w:p w14:paraId="2CCD0BB7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21 — Absence de pouvoir financier autonome</w:t>
      </w:r>
    </w:p>
    <w:p w14:paraId="51473A87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ne peut :</w:t>
      </w:r>
    </w:p>
    <w:p w14:paraId="349D3F16" w14:textId="77777777" w:rsidR="00BF68CF" w:rsidRPr="00BF68CF" w:rsidRDefault="00BF68CF" w:rsidP="00BF68CF">
      <w:pPr>
        <w:numPr>
          <w:ilvl w:val="0"/>
          <w:numId w:val="30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créer de dette structurelle ;</w:t>
      </w:r>
    </w:p>
    <w:p w14:paraId="0F89F401" w14:textId="77777777" w:rsidR="00BF68CF" w:rsidRPr="00BF68CF" w:rsidRDefault="00BF68CF" w:rsidP="00BF68CF">
      <w:pPr>
        <w:numPr>
          <w:ilvl w:val="0"/>
          <w:numId w:val="30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engager l’avenir financier au-delà de la transition ;</w:t>
      </w:r>
    </w:p>
    <w:p w14:paraId="3A628901" w14:textId="77777777" w:rsidR="00BF68CF" w:rsidRPr="00BF68CF" w:rsidRDefault="00BF68CF" w:rsidP="00BF68CF">
      <w:pPr>
        <w:numPr>
          <w:ilvl w:val="0"/>
          <w:numId w:val="30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détourner des fonds à des fins politiques.</w:t>
      </w:r>
    </w:p>
    <w:p w14:paraId="712EBF8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49A47B30">
          <v:rect id="_x0000_i1176" style="width:0;height:1.5pt" o:hralign="center" o:hrstd="t" o:hr="t" fillcolor="#a0a0a0" stroked="f"/>
        </w:pict>
      </w:r>
    </w:p>
    <w:p w14:paraId="2975B765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VIII — CONTRÔLE ET RESPONSABILITÉ</w:t>
      </w:r>
    </w:p>
    <w:p w14:paraId="2409572A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22 — Contrôle citoyen</w:t>
      </w:r>
    </w:p>
    <w:p w14:paraId="1561A5F3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citoyen peut signaler :</w:t>
      </w:r>
    </w:p>
    <w:p w14:paraId="5E281DE3" w14:textId="77777777" w:rsidR="00BF68CF" w:rsidRPr="00BF68CF" w:rsidRDefault="00BF68CF" w:rsidP="00BF68CF">
      <w:pPr>
        <w:numPr>
          <w:ilvl w:val="0"/>
          <w:numId w:val="31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un abus ;</w:t>
      </w:r>
    </w:p>
    <w:p w14:paraId="440F79A9" w14:textId="77777777" w:rsidR="00BF68CF" w:rsidRPr="00BF68CF" w:rsidRDefault="00BF68CF" w:rsidP="00BF68CF">
      <w:pPr>
        <w:numPr>
          <w:ilvl w:val="0"/>
          <w:numId w:val="31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un contournement ;</w:t>
      </w:r>
    </w:p>
    <w:p w14:paraId="20BB2D53" w14:textId="77777777" w:rsidR="00BF68CF" w:rsidRPr="00BF68CF" w:rsidRDefault="00BF68CF" w:rsidP="00BF68CF">
      <w:pPr>
        <w:numPr>
          <w:ilvl w:val="0"/>
          <w:numId w:val="31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une violation des principes du SCQ.</w:t>
      </w:r>
    </w:p>
    <w:p w14:paraId="47C69654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23 — Sanctions</w:t>
      </w:r>
    </w:p>
    <w:p w14:paraId="2881F1CE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Selon la gravité :</w:t>
      </w:r>
    </w:p>
    <w:p w14:paraId="1C2624C9" w14:textId="77777777" w:rsidR="00BF68CF" w:rsidRPr="00BF68CF" w:rsidRDefault="00BF68CF" w:rsidP="00BF68CF">
      <w:pPr>
        <w:numPr>
          <w:ilvl w:val="0"/>
          <w:numId w:val="3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suspension ;</w:t>
      </w:r>
    </w:p>
    <w:p w14:paraId="7E5DE84A" w14:textId="77777777" w:rsidR="00BF68CF" w:rsidRPr="00BF68CF" w:rsidRDefault="00BF68CF" w:rsidP="00BF68CF">
      <w:pPr>
        <w:numPr>
          <w:ilvl w:val="0"/>
          <w:numId w:val="3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révocation ;</w:t>
      </w:r>
    </w:p>
    <w:p w14:paraId="73A564B4" w14:textId="77777777" w:rsidR="00BF68CF" w:rsidRPr="00BF68CF" w:rsidRDefault="00BF68CF" w:rsidP="00BF68CF">
      <w:pPr>
        <w:numPr>
          <w:ilvl w:val="0"/>
          <w:numId w:val="3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sanctions administratives ;</w:t>
      </w:r>
    </w:p>
    <w:p w14:paraId="2B15371E" w14:textId="77777777" w:rsidR="00BF68CF" w:rsidRPr="00BF68CF" w:rsidRDefault="00BF68CF" w:rsidP="00BF68CF">
      <w:pPr>
        <w:numPr>
          <w:ilvl w:val="0"/>
          <w:numId w:val="32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transmission aux autorités judiciaires compétentes.</w:t>
      </w:r>
    </w:p>
    <w:p w14:paraId="67F038C3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24 — Responsabilité personnelle</w:t>
      </w:r>
    </w:p>
    <w:p w14:paraId="05BE79E5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Nul ne peut se retrancher derrière une fonction ou une hiérarchie pour échapper à sa responsabilité.</w:t>
      </w:r>
    </w:p>
    <w:p w14:paraId="7756ECA0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4616CC09">
          <v:rect id="_x0000_i1177" style="width:0;height:1.5pt" o:hralign="center" o:hrstd="t" o:hr="t" fillcolor="#a0a0a0" stroked="f"/>
        </w:pict>
      </w:r>
    </w:p>
    <w:p w14:paraId="5CC0BD4B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TITRE IX — RETRAIT GRADUEL</w:t>
      </w:r>
    </w:p>
    <w:p w14:paraId="692ADA28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25 — Retrait progressif</w:t>
      </w:r>
    </w:p>
    <w:p w14:paraId="2C0030A9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À mesure que les institutions constitutionnelles deviennent pleinement opérationnelles, le SCQ se retire de façon progressive, irréversible et ordonnée.</w:t>
      </w:r>
    </w:p>
    <w:p w14:paraId="1E578E1A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739E48D0">
          <v:rect id="_x0000_i1178" style="width:0;height:1.5pt" o:hralign="center" o:hrstd="t" o:hr="t" fillcolor="#a0a0a0" stroked="f"/>
        </w:pict>
      </w:r>
    </w:p>
    <w:p w14:paraId="1FF33298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X — DISSOLUTION OBLIGATOIRE</w:t>
      </w:r>
    </w:p>
    <w:p w14:paraId="4FE8BF12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26 — Dissolution automatique</w:t>
      </w:r>
    </w:p>
    <w:p w14:paraId="2EF6E4D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est automatiquement dissous lorsque :</w:t>
      </w:r>
    </w:p>
    <w:p w14:paraId="50B4E025" w14:textId="77777777" w:rsidR="00BF68CF" w:rsidRPr="00BF68CF" w:rsidRDefault="00BF68CF" w:rsidP="00BF68CF">
      <w:pPr>
        <w:numPr>
          <w:ilvl w:val="0"/>
          <w:numId w:val="3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 Constitution est pleinement en vigueur ;</w:t>
      </w:r>
    </w:p>
    <w:p w14:paraId="4607CA73" w14:textId="77777777" w:rsidR="00BF68CF" w:rsidRPr="00BF68CF" w:rsidRDefault="00BF68CF" w:rsidP="00BF68CF">
      <w:pPr>
        <w:numPr>
          <w:ilvl w:val="0"/>
          <w:numId w:val="3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les institutions constitutionnelles sont fonctionnelles ;</w:t>
      </w:r>
    </w:p>
    <w:p w14:paraId="33EE83E8" w14:textId="77777777" w:rsidR="00BF68CF" w:rsidRPr="00BF68CF" w:rsidRDefault="00BF68CF" w:rsidP="00BF68CF">
      <w:pPr>
        <w:numPr>
          <w:ilvl w:val="0"/>
          <w:numId w:val="33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cadre légal permanent est opérationnel.</w:t>
      </w:r>
    </w:p>
    <w:p w14:paraId="604724DC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27 — Interdiction de pérennisation</w:t>
      </w:r>
    </w:p>
    <w:p w14:paraId="245DF400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tentative de maintenir, transformer ou ressusciter le SCQ est interdite et nulle.</w:t>
      </w:r>
    </w:p>
    <w:p w14:paraId="436662F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1A5C41B6">
          <v:rect id="_x0000_i1179" style="width:0;height:1.5pt" o:hralign="center" o:hrstd="t" o:hr="t" fillcolor="#a0a0a0" stroked="f"/>
        </w:pict>
      </w:r>
    </w:p>
    <w:p w14:paraId="49EE8134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XI — CLAUSES DE BLINDAGE</w:t>
      </w:r>
    </w:p>
    <w:p w14:paraId="5DDF96EF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28 — Anti-contournement</w:t>
      </w:r>
    </w:p>
    <w:p w14:paraId="65AE300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 acte visant à obtenir indirectement ce qui est interdit directement est nul.</w:t>
      </w:r>
    </w:p>
    <w:p w14:paraId="667486C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29 — Nullité systémique</w:t>
      </w:r>
    </w:p>
    <w:p w14:paraId="1F6285A3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Un ensemble d’actes produisant un effet anticonstitutionnel est nul, même si chaque acte pris isolément est légal.</w:t>
      </w:r>
    </w:p>
    <w:p w14:paraId="21AD8ACB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60519731">
          <v:rect id="_x0000_i1180" style="width:0;height:1.5pt" o:hralign="center" o:hrstd="t" o:hr="t" fillcolor="#a0a0a0" stroked="f"/>
        </w:pict>
      </w:r>
    </w:p>
    <w:p w14:paraId="19B259A7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TITRE XII — DISPOSITIONS FINALES</w:t>
      </w:r>
    </w:p>
    <w:p w14:paraId="6A260F37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30 — Primauté</w:t>
      </w:r>
    </w:p>
    <w:p w14:paraId="5122AFFC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ne peut primer sur la Constitution.</w:t>
      </w:r>
    </w:p>
    <w:p w14:paraId="3AC62BD1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Article 31 — Extinction définitive</w:t>
      </w:r>
    </w:p>
    <w:p w14:paraId="5F8BBF86" w14:textId="77777777" w:rsidR="00BF68CF" w:rsidRPr="00BF68CF" w:rsidRDefault="00BF68CF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BF68CF">
        <w:rPr>
          <w:rFonts w:ascii="Arial" w:eastAsiaTheme="majorEastAsia" w:hAnsi="Arial" w:cs="Arial"/>
          <w:b/>
          <w:bCs/>
          <w:sz w:val="24"/>
          <w:szCs w:val="24"/>
          <w:lang w:val="fr-CA"/>
        </w:rPr>
        <w:t>À sa dissolution, le SCQ cesse d’exister sans possibilité de reconduction.</w:t>
      </w:r>
    </w:p>
    <w:p w14:paraId="17E7C437" w14:textId="54C64FCF" w:rsidR="00B907D8" w:rsidRPr="00BF68CF" w:rsidRDefault="00B907D8" w:rsidP="00BF68CF">
      <w:pPr>
        <w:rPr>
          <w:rFonts w:ascii="Arial" w:hAnsi="Arial" w:cs="Arial"/>
          <w:sz w:val="24"/>
          <w:szCs w:val="24"/>
          <w:lang w:val="fr-CA"/>
        </w:rPr>
      </w:pPr>
    </w:p>
    <w:sectPr w:rsidR="00B907D8" w:rsidRPr="00BF6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47798"/>
    <w:multiLevelType w:val="multilevel"/>
    <w:tmpl w:val="83A6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25B93"/>
    <w:multiLevelType w:val="multilevel"/>
    <w:tmpl w:val="D8E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6153D"/>
    <w:multiLevelType w:val="multilevel"/>
    <w:tmpl w:val="E26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63073"/>
    <w:multiLevelType w:val="multilevel"/>
    <w:tmpl w:val="C44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82F17"/>
    <w:multiLevelType w:val="multilevel"/>
    <w:tmpl w:val="5E2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12D07"/>
    <w:multiLevelType w:val="multilevel"/>
    <w:tmpl w:val="330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31FEB"/>
    <w:multiLevelType w:val="multilevel"/>
    <w:tmpl w:val="4A8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93182"/>
    <w:multiLevelType w:val="multilevel"/>
    <w:tmpl w:val="EFA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F7987"/>
    <w:multiLevelType w:val="multilevel"/>
    <w:tmpl w:val="220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81C82"/>
    <w:multiLevelType w:val="multilevel"/>
    <w:tmpl w:val="C93E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D23AEE"/>
    <w:multiLevelType w:val="multilevel"/>
    <w:tmpl w:val="14D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46F10"/>
    <w:multiLevelType w:val="multilevel"/>
    <w:tmpl w:val="062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17744"/>
    <w:multiLevelType w:val="multilevel"/>
    <w:tmpl w:val="66B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23482"/>
    <w:multiLevelType w:val="multilevel"/>
    <w:tmpl w:val="2056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646FF"/>
    <w:multiLevelType w:val="multilevel"/>
    <w:tmpl w:val="CC9C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23EBF"/>
    <w:multiLevelType w:val="multilevel"/>
    <w:tmpl w:val="E82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8511F"/>
    <w:multiLevelType w:val="multilevel"/>
    <w:tmpl w:val="C1E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B3E0E"/>
    <w:multiLevelType w:val="multilevel"/>
    <w:tmpl w:val="AA8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E154C"/>
    <w:multiLevelType w:val="multilevel"/>
    <w:tmpl w:val="72DE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96CDB"/>
    <w:multiLevelType w:val="multilevel"/>
    <w:tmpl w:val="CCAA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105EBC"/>
    <w:multiLevelType w:val="multilevel"/>
    <w:tmpl w:val="5C2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B096B"/>
    <w:multiLevelType w:val="multilevel"/>
    <w:tmpl w:val="FAB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8715D"/>
    <w:multiLevelType w:val="multilevel"/>
    <w:tmpl w:val="890E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07199"/>
    <w:multiLevelType w:val="multilevel"/>
    <w:tmpl w:val="B1A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336870">
    <w:abstractNumId w:val="8"/>
  </w:num>
  <w:num w:numId="2" w16cid:durableId="153645559">
    <w:abstractNumId w:val="6"/>
  </w:num>
  <w:num w:numId="3" w16cid:durableId="1033313488">
    <w:abstractNumId w:val="5"/>
  </w:num>
  <w:num w:numId="4" w16cid:durableId="1674841931">
    <w:abstractNumId w:val="4"/>
  </w:num>
  <w:num w:numId="5" w16cid:durableId="91246314">
    <w:abstractNumId w:val="7"/>
  </w:num>
  <w:num w:numId="6" w16cid:durableId="318848174">
    <w:abstractNumId w:val="3"/>
  </w:num>
  <w:num w:numId="7" w16cid:durableId="683555406">
    <w:abstractNumId w:val="2"/>
  </w:num>
  <w:num w:numId="8" w16cid:durableId="1383137327">
    <w:abstractNumId w:val="1"/>
  </w:num>
  <w:num w:numId="9" w16cid:durableId="1104227671">
    <w:abstractNumId w:val="0"/>
  </w:num>
  <w:num w:numId="10" w16cid:durableId="1351298014">
    <w:abstractNumId w:val="26"/>
  </w:num>
  <w:num w:numId="11" w16cid:durableId="1035541045">
    <w:abstractNumId w:val="11"/>
  </w:num>
  <w:num w:numId="12" w16cid:durableId="77139575">
    <w:abstractNumId w:val="15"/>
  </w:num>
  <w:num w:numId="13" w16cid:durableId="875191373">
    <w:abstractNumId w:val="12"/>
  </w:num>
  <w:num w:numId="14" w16cid:durableId="1530098285">
    <w:abstractNumId w:val="24"/>
  </w:num>
  <w:num w:numId="15" w16cid:durableId="648824949">
    <w:abstractNumId w:val="14"/>
  </w:num>
  <w:num w:numId="16" w16cid:durableId="1593581919">
    <w:abstractNumId w:val="27"/>
  </w:num>
  <w:num w:numId="17" w16cid:durableId="557712229">
    <w:abstractNumId w:val="30"/>
  </w:num>
  <w:num w:numId="18" w16cid:durableId="1634556747">
    <w:abstractNumId w:val="29"/>
  </w:num>
  <w:num w:numId="19" w16cid:durableId="1510677707">
    <w:abstractNumId w:val="10"/>
  </w:num>
  <w:num w:numId="20" w16cid:durableId="838695638">
    <w:abstractNumId w:val="23"/>
  </w:num>
  <w:num w:numId="21" w16cid:durableId="1256212405">
    <w:abstractNumId w:val="20"/>
  </w:num>
  <w:num w:numId="22" w16cid:durableId="226721163">
    <w:abstractNumId w:val="18"/>
  </w:num>
  <w:num w:numId="23" w16cid:durableId="1668361237">
    <w:abstractNumId w:val="13"/>
  </w:num>
  <w:num w:numId="24" w16cid:durableId="1625383870">
    <w:abstractNumId w:val="25"/>
  </w:num>
  <w:num w:numId="25" w16cid:durableId="1747415093">
    <w:abstractNumId w:val="22"/>
  </w:num>
  <w:num w:numId="26" w16cid:durableId="1021323053">
    <w:abstractNumId w:val="32"/>
  </w:num>
  <w:num w:numId="27" w16cid:durableId="320503255">
    <w:abstractNumId w:val="17"/>
  </w:num>
  <w:num w:numId="28" w16cid:durableId="1321738609">
    <w:abstractNumId w:val="31"/>
  </w:num>
  <w:num w:numId="29" w16cid:durableId="2004238197">
    <w:abstractNumId w:val="19"/>
  </w:num>
  <w:num w:numId="30" w16cid:durableId="39717107">
    <w:abstractNumId w:val="21"/>
  </w:num>
  <w:num w:numId="31" w16cid:durableId="948705035">
    <w:abstractNumId w:val="9"/>
  </w:num>
  <w:num w:numId="32" w16cid:durableId="1013998794">
    <w:abstractNumId w:val="16"/>
  </w:num>
  <w:num w:numId="33" w16cid:durableId="10624366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2BA"/>
    <w:rsid w:val="006950E0"/>
    <w:rsid w:val="008C2081"/>
    <w:rsid w:val="00A30D52"/>
    <w:rsid w:val="00AA1D8D"/>
    <w:rsid w:val="00B314D4"/>
    <w:rsid w:val="00B47730"/>
    <w:rsid w:val="00B907D8"/>
    <w:rsid w:val="00BF68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B399D"/>
  <w14:defaultImageDpi w14:val="300"/>
  <w15:docId w15:val="{FF53A0EF-5668-4281-8B9B-BCF91FAF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863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4</cp:revision>
  <dcterms:created xsi:type="dcterms:W3CDTF">2013-12-23T23:15:00Z</dcterms:created>
  <dcterms:modified xsi:type="dcterms:W3CDTF">2025-12-27T17:26:00Z</dcterms:modified>
  <cp:category/>
</cp:coreProperties>
</file>