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77DC6" w14:textId="77777777" w:rsidR="004D3642" w:rsidRPr="004D3642" w:rsidRDefault="004D3642" w:rsidP="00D460CD">
      <w:pPr>
        <w:jc w:val="center"/>
        <w:rPr>
          <w:rFonts w:ascii="Arial" w:eastAsiaTheme="majorEastAsia" w:hAnsi="Arial" w:cs="Arial"/>
          <w:sz w:val="32"/>
          <w:szCs w:val="32"/>
          <w:u w:val="single"/>
        </w:rPr>
      </w:pPr>
      <w:r w:rsidRPr="004D3642">
        <w:rPr>
          <w:rFonts w:ascii="Arial" w:eastAsiaTheme="majorEastAsia" w:hAnsi="Arial" w:cs="Arial"/>
          <w:sz w:val="32"/>
          <w:szCs w:val="32"/>
          <w:u w:val="single"/>
        </w:rPr>
        <w:t>CONSTITUTIONAL TRANSITION TOOL OF SOVEREIGN QUÉBEC</w:t>
      </w:r>
    </w:p>
    <w:p w14:paraId="54095945" w14:textId="1A457F75" w:rsidR="00984EE5" w:rsidRPr="004D3642" w:rsidRDefault="00984EE5" w:rsidP="00D460CD">
      <w:pPr>
        <w:jc w:val="center"/>
        <w:rPr>
          <w:rFonts w:ascii="Arial" w:eastAsiaTheme="majorEastAsia" w:hAnsi="Arial" w:cs="Arial"/>
          <w:sz w:val="28"/>
          <w:szCs w:val="28"/>
          <w:u w:val="single"/>
        </w:rPr>
      </w:pPr>
      <w:r w:rsidRPr="004D364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440D036" wp14:editId="35807312">
            <wp:extent cx="881380" cy="962025"/>
            <wp:effectExtent l="0" t="0" r="0" b="9525"/>
            <wp:docPr id="4996731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8138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A796B" w14:textId="77777777" w:rsidR="004D3642" w:rsidRPr="004D3642" w:rsidRDefault="004D3642" w:rsidP="004D3642">
      <w:pPr>
        <w:pBdr>
          <w:bottom w:val="single" w:sz="6" w:space="1" w:color="auto"/>
        </w:pBdr>
        <w:jc w:val="center"/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System of Legal Continuity, Conversion, and Institutional Security</w:t>
      </w:r>
    </w:p>
    <w:p w14:paraId="6940CC2B" w14:textId="77777777" w:rsidR="004D3642" w:rsidRPr="004D3642" w:rsidRDefault="004D3642" w:rsidP="004D3642">
      <w:pPr>
        <w:pBdr>
          <w:bottom w:val="single" w:sz="6" w:space="1" w:color="auto"/>
        </w:pBdr>
        <w:jc w:val="center"/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Legal Status</w:t>
      </w:r>
    </w:p>
    <w:p w14:paraId="550D64DE" w14:textId="77777777" w:rsidR="004D3642" w:rsidRDefault="004D3642" w:rsidP="004D3642">
      <w:pPr>
        <w:pBdr>
          <w:bottom w:val="single" w:sz="6" w:space="1" w:color="auto"/>
        </w:pBdr>
        <w:tabs>
          <w:tab w:val="num" w:pos="720"/>
        </w:tabs>
        <w:jc w:val="center"/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The Constitutional Transition Tool (CTT) is:</w:t>
      </w:r>
      <w:r w:rsidRPr="004D3642">
        <w:rPr>
          <w:rFonts w:ascii="Arial" w:eastAsiaTheme="majorEastAsia" w:hAnsi="Arial" w:cs="Arial"/>
          <w:sz w:val="24"/>
          <w:szCs w:val="24"/>
        </w:rPr>
        <w:t xml:space="preserve"> </w:t>
      </w:r>
    </w:p>
    <w:p w14:paraId="19139DF0" w14:textId="77777777" w:rsidR="004D3642" w:rsidRDefault="004D3642" w:rsidP="004D3642">
      <w:pPr>
        <w:pBdr>
          <w:bottom w:val="single" w:sz="6" w:space="1" w:color="auto"/>
        </w:pBdr>
        <w:tabs>
          <w:tab w:val="num" w:pos="720"/>
        </w:tabs>
        <w:jc w:val="center"/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temporary by nature;</w:t>
      </w:r>
      <w:r w:rsidRPr="004D3642">
        <w:rPr>
          <w:rFonts w:ascii="Arial" w:eastAsiaTheme="majorEastAsia" w:hAnsi="Arial" w:cs="Arial"/>
          <w:sz w:val="24"/>
          <w:szCs w:val="24"/>
        </w:rPr>
        <w:t xml:space="preserve"> </w:t>
      </w:r>
      <w:r w:rsidRPr="004D3642">
        <w:rPr>
          <w:rFonts w:ascii="Arial" w:eastAsiaTheme="majorEastAsia" w:hAnsi="Arial" w:cs="Arial"/>
          <w:sz w:val="24"/>
          <w:szCs w:val="24"/>
        </w:rPr>
        <w:t xml:space="preserve">strictly subordinate to the </w:t>
      </w:r>
      <w:proofErr w:type="gramStart"/>
      <w:r w:rsidRPr="004D3642">
        <w:rPr>
          <w:rFonts w:ascii="Arial" w:eastAsiaTheme="majorEastAsia" w:hAnsi="Arial" w:cs="Arial"/>
          <w:sz w:val="24"/>
          <w:szCs w:val="24"/>
        </w:rPr>
        <w:t>Constitution;</w:t>
      </w:r>
      <w:proofErr w:type="gramEnd"/>
    </w:p>
    <w:p w14:paraId="074D652B" w14:textId="77777777" w:rsidR="004D3642" w:rsidRDefault="004D3642" w:rsidP="004D3642">
      <w:pPr>
        <w:pBdr>
          <w:bottom w:val="single" w:sz="6" w:space="1" w:color="auto"/>
        </w:pBdr>
        <w:tabs>
          <w:tab w:val="num" w:pos="720"/>
        </w:tabs>
        <w:jc w:val="center"/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 xml:space="preserve"> </w:t>
      </w:r>
      <w:r w:rsidRPr="004D3642">
        <w:rPr>
          <w:rFonts w:ascii="Arial" w:eastAsiaTheme="majorEastAsia" w:hAnsi="Arial" w:cs="Arial"/>
          <w:sz w:val="24"/>
          <w:szCs w:val="24"/>
        </w:rPr>
        <w:t xml:space="preserve">legally binding during the transition </w:t>
      </w:r>
      <w:proofErr w:type="gramStart"/>
      <w:r w:rsidRPr="004D3642">
        <w:rPr>
          <w:rFonts w:ascii="Arial" w:eastAsiaTheme="majorEastAsia" w:hAnsi="Arial" w:cs="Arial"/>
          <w:sz w:val="24"/>
          <w:szCs w:val="24"/>
        </w:rPr>
        <w:t>period;</w:t>
      </w:r>
      <w:proofErr w:type="gramEnd"/>
      <w:r w:rsidRPr="004D3642">
        <w:rPr>
          <w:rFonts w:ascii="Arial" w:eastAsiaTheme="majorEastAsia" w:hAnsi="Arial" w:cs="Arial"/>
          <w:sz w:val="24"/>
          <w:szCs w:val="24"/>
        </w:rPr>
        <w:t xml:space="preserve"> </w:t>
      </w:r>
    </w:p>
    <w:p w14:paraId="21438643" w14:textId="209ECDE4" w:rsidR="004D3642" w:rsidRPr="004D3642" w:rsidRDefault="004D3642" w:rsidP="004D3642">
      <w:pPr>
        <w:pBdr>
          <w:bottom w:val="single" w:sz="6" w:space="1" w:color="auto"/>
        </w:pBdr>
        <w:tabs>
          <w:tab w:val="num" w:pos="720"/>
        </w:tabs>
        <w:jc w:val="center"/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automatically deactivated once the transition is completed.</w:t>
      </w:r>
    </w:p>
    <w:p w14:paraId="33D5C42C" w14:textId="26E0FFB4" w:rsidR="00BF68CF" w:rsidRPr="004D3642" w:rsidRDefault="004D3642" w:rsidP="00BF68CF">
      <w:pPr>
        <w:pBdr>
          <w:bottom w:val="single" w:sz="6" w:space="1" w:color="auto"/>
        </w:pBdr>
        <w:jc w:val="center"/>
        <w:rPr>
          <w:rFonts w:ascii="Arial" w:eastAsiaTheme="majorEastAsia" w:hAnsi="Arial" w:cs="Arial"/>
          <w:sz w:val="24"/>
          <w:szCs w:val="24"/>
        </w:rPr>
      </w:pPr>
      <w:proofErr w:type="gramStart"/>
      <w:r w:rsidRPr="004D3642">
        <w:rPr>
          <w:rFonts w:ascii="Arial" w:eastAsiaTheme="majorEastAsia" w:hAnsi="Arial" w:cs="Arial"/>
          <w:sz w:val="24"/>
          <w:szCs w:val="24"/>
        </w:rPr>
        <w:t>The CTT</w:t>
      </w:r>
      <w:proofErr w:type="gramEnd"/>
      <w:r w:rsidRPr="004D3642">
        <w:rPr>
          <w:rFonts w:ascii="Arial" w:eastAsiaTheme="majorEastAsia" w:hAnsi="Arial" w:cs="Arial"/>
          <w:sz w:val="24"/>
          <w:szCs w:val="24"/>
        </w:rPr>
        <w:t xml:space="preserve"> creates no new power.</w:t>
      </w:r>
      <w:r w:rsidRPr="004D3642">
        <w:rPr>
          <w:rFonts w:ascii="Arial" w:eastAsiaTheme="majorEastAsia" w:hAnsi="Arial" w:cs="Arial"/>
          <w:sz w:val="24"/>
          <w:szCs w:val="24"/>
        </w:rPr>
        <w:br/>
        <w:t>It prevents legal vacuum, abuse, power capture, and disruption of essential services.</w:t>
      </w:r>
    </w:p>
    <w:p w14:paraId="7C2EBB55" w14:textId="77777777" w:rsidR="00984EE5" w:rsidRPr="004D3642" w:rsidRDefault="00984EE5" w:rsidP="004D3642">
      <w:pPr>
        <w:rPr>
          <w:rFonts w:ascii="Arial" w:eastAsiaTheme="majorEastAsia" w:hAnsi="Arial" w:cs="Arial"/>
          <w:sz w:val="24"/>
          <w:szCs w:val="24"/>
        </w:rPr>
      </w:pPr>
    </w:p>
    <w:p w14:paraId="146B8917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BOOK I</w:t>
      </w:r>
    </w:p>
    <w:p w14:paraId="7C76E821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FUNDAMENTAL PRINCIPLES OF TRANSITION</w:t>
      </w:r>
    </w:p>
    <w:p w14:paraId="78B443B4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Article 1 — Purpose of the Transition Tool</w:t>
      </w:r>
    </w:p>
    <w:p w14:paraId="36964B33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The present tool aims to ensure an orderly, legal, and secure transition toward the full application of the Constitution of Sovereign Québec.</w:t>
      </w:r>
    </w:p>
    <w:p w14:paraId="3ECFB247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It prohibits any form of institutional improvisation.</w:t>
      </w:r>
    </w:p>
    <w:p w14:paraId="40F723F6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Article 2 — Primacy of the People</w:t>
      </w:r>
    </w:p>
    <w:p w14:paraId="642B69DC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Throughout the transition, popular sovereignty remains the exclusive source of legitimacy.</w:t>
      </w:r>
    </w:p>
    <w:p w14:paraId="7089006D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No transitional authority may durably substitute itself for the people.</w:t>
      </w:r>
    </w:p>
    <w:p w14:paraId="52E237D4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Article 3 — Continuity of Rights</w:t>
      </w:r>
    </w:p>
    <w:p w14:paraId="4B849EF3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Individual, social, and economic rights of citizens are fully maintained during the transition.</w:t>
      </w:r>
    </w:p>
    <w:p w14:paraId="39D2AF70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No general suspension of rights is permitted.</w:t>
      </w:r>
    </w:p>
    <w:p w14:paraId="62A12963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Article 4 — Continuity of Essential Services</w:t>
      </w:r>
    </w:p>
    <w:p w14:paraId="5BBDA2AA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Essential services are maintained without interruption, including:</w:t>
      </w:r>
    </w:p>
    <w:p w14:paraId="15163C96" w14:textId="77777777" w:rsidR="004D3642" w:rsidRPr="004D3642" w:rsidRDefault="004D3642" w:rsidP="004D3642">
      <w:pPr>
        <w:numPr>
          <w:ilvl w:val="0"/>
          <w:numId w:val="126"/>
        </w:numPr>
        <w:rPr>
          <w:rFonts w:ascii="Arial" w:eastAsiaTheme="majorEastAsia" w:hAnsi="Arial" w:cs="Arial"/>
          <w:sz w:val="24"/>
          <w:szCs w:val="24"/>
          <w:lang w:val="fr-CA"/>
        </w:rPr>
      </w:pPr>
      <w:proofErr w:type="spellStart"/>
      <w:proofErr w:type="gram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healthcare</w:t>
      </w:r>
      <w:proofErr w:type="spellEnd"/>
      <w:proofErr w:type="gramEnd"/>
      <w:r w:rsidRPr="004D3642">
        <w:rPr>
          <w:rFonts w:ascii="Arial" w:eastAsiaTheme="majorEastAsia" w:hAnsi="Arial" w:cs="Arial"/>
          <w:sz w:val="24"/>
          <w:szCs w:val="24"/>
          <w:lang w:val="fr-CA"/>
        </w:rPr>
        <w:t>;</w:t>
      </w:r>
    </w:p>
    <w:p w14:paraId="111EFE64" w14:textId="77777777" w:rsidR="004D3642" w:rsidRPr="004D3642" w:rsidRDefault="004D3642" w:rsidP="004D3642">
      <w:pPr>
        <w:numPr>
          <w:ilvl w:val="0"/>
          <w:numId w:val="126"/>
        </w:numPr>
        <w:rPr>
          <w:rFonts w:ascii="Arial" w:eastAsiaTheme="majorEastAsia" w:hAnsi="Arial" w:cs="Arial"/>
          <w:sz w:val="24"/>
          <w:szCs w:val="24"/>
          <w:lang w:val="fr-CA"/>
        </w:rPr>
      </w:pPr>
      <w:proofErr w:type="spellStart"/>
      <w:proofErr w:type="gram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security</w:t>
      </w:r>
      <w:proofErr w:type="spellEnd"/>
      <w:proofErr w:type="gramEnd"/>
      <w:r w:rsidRPr="004D3642">
        <w:rPr>
          <w:rFonts w:ascii="Arial" w:eastAsiaTheme="majorEastAsia" w:hAnsi="Arial" w:cs="Arial"/>
          <w:sz w:val="24"/>
          <w:szCs w:val="24"/>
          <w:lang w:val="fr-CA"/>
        </w:rPr>
        <w:t>;</w:t>
      </w:r>
    </w:p>
    <w:p w14:paraId="6D120922" w14:textId="77777777" w:rsidR="004D3642" w:rsidRPr="004D3642" w:rsidRDefault="004D3642" w:rsidP="004D3642">
      <w:pPr>
        <w:numPr>
          <w:ilvl w:val="0"/>
          <w:numId w:val="126"/>
        </w:numPr>
        <w:rPr>
          <w:rFonts w:ascii="Arial" w:eastAsiaTheme="majorEastAsia" w:hAnsi="Arial" w:cs="Arial"/>
          <w:sz w:val="24"/>
          <w:szCs w:val="24"/>
          <w:lang w:val="fr-CA"/>
        </w:rPr>
      </w:pPr>
      <w:proofErr w:type="spellStart"/>
      <w:proofErr w:type="gram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energy</w:t>
      </w:r>
      <w:proofErr w:type="spellEnd"/>
      <w:proofErr w:type="gramEnd"/>
      <w:r w:rsidRPr="004D3642">
        <w:rPr>
          <w:rFonts w:ascii="Arial" w:eastAsiaTheme="majorEastAsia" w:hAnsi="Arial" w:cs="Arial"/>
          <w:sz w:val="24"/>
          <w:szCs w:val="24"/>
          <w:lang w:val="fr-CA"/>
        </w:rPr>
        <w:t>;</w:t>
      </w:r>
    </w:p>
    <w:p w14:paraId="67F55024" w14:textId="77777777" w:rsidR="004D3642" w:rsidRPr="004D3642" w:rsidRDefault="004D3642" w:rsidP="004D3642">
      <w:pPr>
        <w:numPr>
          <w:ilvl w:val="0"/>
          <w:numId w:val="126"/>
        </w:numPr>
        <w:rPr>
          <w:rFonts w:ascii="Arial" w:eastAsiaTheme="majorEastAsia" w:hAnsi="Arial" w:cs="Arial"/>
          <w:sz w:val="24"/>
          <w:szCs w:val="24"/>
          <w:lang w:val="fr-CA"/>
        </w:rPr>
      </w:pPr>
      <w:proofErr w:type="gramStart"/>
      <w:r w:rsidRPr="004D3642">
        <w:rPr>
          <w:rFonts w:ascii="Arial" w:eastAsiaTheme="majorEastAsia" w:hAnsi="Arial" w:cs="Arial"/>
          <w:sz w:val="24"/>
          <w:szCs w:val="24"/>
          <w:lang w:val="fr-CA"/>
        </w:rPr>
        <w:lastRenderedPageBreak/>
        <w:t>water</w:t>
      </w:r>
      <w:proofErr w:type="gramEnd"/>
      <w:r w:rsidRPr="004D3642">
        <w:rPr>
          <w:rFonts w:ascii="Arial" w:eastAsiaTheme="majorEastAsia" w:hAnsi="Arial" w:cs="Arial"/>
          <w:sz w:val="24"/>
          <w:szCs w:val="24"/>
          <w:lang w:val="fr-CA"/>
        </w:rPr>
        <w:t>;</w:t>
      </w:r>
    </w:p>
    <w:p w14:paraId="49105968" w14:textId="77777777" w:rsidR="004D3642" w:rsidRPr="004D3642" w:rsidRDefault="004D3642" w:rsidP="004D3642">
      <w:pPr>
        <w:numPr>
          <w:ilvl w:val="0"/>
          <w:numId w:val="126"/>
        </w:numPr>
        <w:rPr>
          <w:rFonts w:ascii="Arial" w:eastAsiaTheme="majorEastAsia" w:hAnsi="Arial" w:cs="Arial"/>
          <w:sz w:val="24"/>
          <w:szCs w:val="24"/>
          <w:lang w:val="fr-CA"/>
        </w:rPr>
      </w:pPr>
      <w:proofErr w:type="gram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essential</w:t>
      </w:r>
      <w:proofErr w:type="gramEnd"/>
      <w:r w:rsidRPr="004D3642">
        <w:rPr>
          <w:rFonts w:ascii="Arial" w:eastAsiaTheme="majorEastAsia" w:hAnsi="Arial" w:cs="Arial"/>
          <w:sz w:val="24"/>
          <w:szCs w:val="24"/>
          <w:lang w:val="fr-CA"/>
        </w:rPr>
        <w:t xml:space="preserve"> communications;</w:t>
      </w:r>
    </w:p>
    <w:p w14:paraId="1342CCF1" w14:textId="77777777" w:rsidR="004D3642" w:rsidRPr="004D3642" w:rsidRDefault="004D3642" w:rsidP="004D3642">
      <w:pPr>
        <w:numPr>
          <w:ilvl w:val="0"/>
          <w:numId w:val="126"/>
        </w:numPr>
        <w:rPr>
          <w:rFonts w:ascii="Arial" w:eastAsiaTheme="majorEastAsia" w:hAnsi="Arial" w:cs="Arial"/>
          <w:sz w:val="24"/>
          <w:szCs w:val="24"/>
          <w:lang w:val="fr-CA"/>
        </w:rPr>
      </w:pPr>
      <w:proofErr w:type="gram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vital</w:t>
      </w:r>
      <w:proofErr w:type="gramEnd"/>
      <w:r w:rsidRPr="004D3642">
        <w:rPr>
          <w:rFonts w:ascii="Arial" w:eastAsiaTheme="majorEastAsia" w:hAnsi="Arial" w:cs="Arial"/>
          <w:sz w:val="24"/>
          <w:szCs w:val="24"/>
          <w:lang w:val="fr-CA"/>
        </w:rPr>
        <w:t xml:space="preserve"> </w:t>
      </w:r>
      <w:proofErr w:type="spell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supply</w:t>
      </w:r>
      <w:proofErr w:type="spellEnd"/>
      <w:r w:rsidRPr="004D3642">
        <w:rPr>
          <w:rFonts w:ascii="Arial" w:eastAsiaTheme="majorEastAsia" w:hAnsi="Arial" w:cs="Arial"/>
          <w:sz w:val="24"/>
          <w:szCs w:val="24"/>
          <w:lang w:val="fr-CA"/>
        </w:rPr>
        <w:t xml:space="preserve"> </w:t>
      </w:r>
      <w:proofErr w:type="spell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chains</w:t>
      </w:r>
      <w:proofErr w:type="spellEnd"/>
      <w:r w:rsidRPr="004D3642">
        <w:rPr>
          <w:rFonts w:ascii="Arial" w:eastAsiaTheme="majorEastAsia" w:hAnsi="Arial" w:cs="Arial"/>
          <w:sz w:val="24"/>
          <w:szCs w:val="24"/>
          <w:lang w:val="fr-CA"/>
        </w:rPr>
        <w:t>.</w:t>
      </w:r>
    </w:p>
    <w:p w14:paraId="04BCEB15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Any attempt at sabotage constitutes a serious fault.</w:t>
      </w:r>
    </w:p>
    <w:p w14:paraId="5E933A93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Article 5 — Principle of No Legal Chaos</w:t>
      </w:r>
    </w:p>
    <w:p w14:paraId="513B1136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No norm may cease to apply without being replaced by an equivalent or superior norm.</w:t>
      </w:r>
    </w:p>
    <w:p w14:paraId="62102F77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 xml:space="preserve">Legal </w:t>
      </w:r>
      <w:proofErr w:type="gramStart"/>
      <w:r w:rsidRPr="004D3642">
        <w:rPr>
          <w:rFonts w:ascii="Arial" w:eastAsiaTheme="majorEastAsia" w:hAnsi="Arial" w:cs="Arial"/>
          <w:sz w:val="24"/>
          <w:szCs w:val="24"/>
        </w:rPr>
        <w:t>vacuum is</w:t>
      </w:r>
      <w:proofErr w:type="gramEnd"/>
      <w:r w:rsidRPr="004D3642">
        <w:rPr>
          <w:rFonts w:ascii="Arial" w:eastAsiaTheme="majorEastAsia" w:hAnsi="Arial" w:cs="Arial"/>
          <w:sz w:val="24"/>
          <w:szCs w:val="24"/>
        </w:rPr>
        <w:t xml:space="preserve"> prohibited.</w:t>
      </w:r>
    </w:p>
    <w:p w14:paraId="21F9C2D2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Article 6 — Immediate Constitutional Supremacy</w:t>
      </w:r>
    </w:p>
    <w:p w14:paraId="05B3BCEC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Upon entry into force of the transition, the Constitution of Sovereign Québec prevails over any incompatible norm.</w:t>
      </w:r>
    </w:p>
    <w:p w14:paraId="5B6359E9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 xml:space="preserve">Incompatible norms become inapplicable by </w:t>
      </w:r>
      <w:proofErr w:type="gramStart"/>
      <w:r w:rsidRPr="004D3642">
        <w:rPr>
          <w:rFonts w:ascii="Arial" w:eastAsiaTheme="majorEastAsia" w:hAnsi="Arial" w:cs="Arial"/>
          <w:sz w:val="24"/>
          <w:szCs w:val="24"/>
        </w:rPr>
        <w:t>operation of law</w:t>
      </w:r>
      <w:proofErr w:type="gramEnd"/>
      <w:r w:rsidRPr="004D3642">
        <w:rPr>
          <w:rFonts w:ascii="Arial" w:eastAsiaTheme="majorEastAsia" w:hAnsi="Arial" w:cs="Arial"/>
          <w:sz w:val="24"/>
          <w:szCs w:val="24"/>
        </w:rPr>
        <w:t>.</w:t>
      </w:r>
    </w:p>
    <w:p w14:paraId="0D7D37FC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Article 7 — Prohibition of Transitional State of Exception</w:t>
      </w:r>
    </w:p>
    <w:p w14:paraId="17D96716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The transition may not serve as a pretext for establishing:</w:t>
      </w:r>
    </w:p>
    <w:p w14:paraId="0A5474BD" w14:textId="77777777" w:rsidR="004D3642" w:rsidRPr="004D3642" w:rsidRDefault="004D3642" w:rsidP="004D3642">
      <w:pPr>
        <w:numPr>
          <w:ilvl w:val="0"/>
          <w:numId w:val="127"/>
        </w:num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 xml:space="preserve">a permanent state of </w:t>
      </w:r>
      <w:proofErr w:type="gramStart"/>
      <w:r w:rsidRPr="004D3642">
        <w:rPr>
          <w:rFonts w:ascii="Arial" w:eastAsiaTheme="majorEastAsia" w:hAnsi="Arial" w:cs="Arial"/>
          <w:sz w:val="24"/>
          <w:szCs w:val="24"/>
        </w:rPr>
        <w:t>exception;</w:t>
      </w:r>
      <w:proofErr w:type="gramEnd"/>
    </w:p>
    <w:p w14:paraId="650F1D8C" w14:textId="77777777" w:rsidR="004D3642" w:rsidRPr="004D3642" w:rsidRDefault="004D3642" w:rsidP="004D3642">
      <w:pPr>
        <w:numPr>
          <w:ilvl w:val="0"/>
          <w:numId w:val="127"/>
        </w:numPr>
        <w:rPr>
          <w:rFonts w:ascii="Arial" w:eastAsiaTheme="majorEastAsia" w:hAnsi="Arial" w:cs="Arial"/>
          <w:sz w:val="24"/>
          <w:szCs w:val="24"/>
          <w:lang w:val="fr-CA"/>
        </w:rPr>
      </w:pPr>
      <w:proofErr w:type="spellStart"/>
      <w:proofErr w:type="gram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governance</w:t>
      </w:r>
      <w:proofErr w:type="spellEnd"/>
      <w:proofErr w:type="gramEnd"/>
      <w:r w:rsidRPr="004D3642">
        <w:rPr>
          <w:rFonts w:ascii="Arial" w:eastAsiaTheme="majorEastAsia" w:hAnsi="Arial" w:cs="Arial"/>
          <w:sz w:val="24"/>
          <w:szCs w:val="24"/>
          <w:lang w:val="fr-CA"/>
        </w:rPr>
        <w:t xml:space="preserve"> by </w:t>
      </w:r>
      <w:proofErr w:type="spell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decree</w:t>
      </w:r>
      <w:proofErr w:type="spellEnd"/>
      <w:r w:rsidRPr="004D3642">
        <w:rPr>
          <w:rFonts w:ascii="Arial" w:eastAsiaTheme="majorEastAsia" w:hAnsi="Arial" w:cs="Arial"/>
          <w:sz w:val="24"/>
          <w:szCs w:val="24"/>
          <w:lang w:val="fr-CA"/>
        </w:rPr>
        <w:t>;</w:t>
      </w:r>
    </w:p>
    <w:p w14:paraId="0FED681E" w14:textId="77777777" w:rsidR="004D3642" w:rsidRPr="004D3642" w:rsidRDefault="004D3642" w:rsidP="004D3642">
      <w:pPr>
        <w:numPr>
          <w:ilvl w:val="0"/>
          <w:numId w:val="127"/>
        </w:num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indefinite suspension of democratic mechanisms.</w:t>
      </w:r>
    </w:p>
    <w:p w14:paraId="21BFFBBA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Article 8 — Ideological Neutrality of the Transitional State</w:t>
      </w:r>
    </w:p>
    <w:p w14:paraId="5D28C438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The transitional State acts exclusively to:</w:t>
      </w:r>
    </w:p>
    <w:p w14:paraId="7FFC7447" w14:textId="77777777" w:rsidR="004D3642" w:rsidRPr="004D3642" w:rsidRDefault="004D3642" w:rsidP="004D3642">
      <w:pPr>
        <w:numPr>
          <w:ilvl w:val="0"/>
          <w:numId w:val="128"/>
        </w:numPr>
        <w:rPr>
          <w:rFonts w:ascii="Arial" w:eastAsiaTheme="majorEastAsia" w:hAnsi="Arial" w:cs="Arial"/>
          <w:sz w:val="24"/>
          <w:szCs w:val="24"/>
          <w:lang w:val="fr-CA"/>
        </w:rPr>
      </w:pPr>
      <w:proofErr w:type="spellStart"/>
      <w:proofErr w:type="gram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apply</w:t>
      </w:r>
      <w:proofErr w:type="spellEnd"/>
      <w:proofErr w:type="gramEnd"/>
      <w:r w:rsidRPr="004D3642">
        <w:rPr>
          <w:rFonts w:ascii="Arial" w:eastAsiaTheme="majorEastAsia" w:hAnsi="Arial" w:cs="Arial"/>
          <w:sz w:val="24"/>
          <w:szCs w:val="24"/>
          <w:lang w:val="fr-CA"/>
        </w:rPr>
        <w:t xml:space="preserve"> the Constitution;</w:t>
      </w:r>
    </w:p>
    <w:p w14:paraId="1305C321" w14:textId="77777777" w:rsidR="004D3642" w:rsidRPr="004D3642" w:rsidRDefault="004D3642" w:rsidP="004D3642">
      <w:pPr>
        <w:numPr>
          <w:ilvl w:val="0"/>
          <w:numId w:val="128"/>
        </w:numPr>
        <w:rPr>
          <w:rFonts w:ascii="Arial" w:eastAsiaTheme="majorEastAsia" w:hAnsi="Arial" w:cs="Arial"/>
          <w:sz w:val="24"/>
          <w:szCs w:val="24"/>
          <w:lang w:val="fr-CA"/>
        </w:rPr>
      </w:pPr>
      <w:proofErr w:type="spellStart"/>
      <w:proofErr w:type="gram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protect</w:t>
      </w:r>
      <w:proofErr w:type="spellEnd"/>
      <w:proofErr w:type="gramEnd"/>
      <w:r w:rsidRPr="004D3642">
        <w:rPr>
          <w:rFonts w:ascii="Arial" w:eastAsiaTheme="majorEastAsia" w:hAnsi="Arial" w:cs="Arial"/>
          <w:sz w:val="24"/>
          <w:szCs w:val="24"/>
          <w:lang w:val="fr-CA"/>
        </w:rPr>
        <w:t xml:space="preserve"> the population;</w:t>
      </w:r>
    </w:p>
    <w:p w14:paraId="5F1B7BDD" w14:textId="77777777" w:rsidR="004D3642" w:rsidRPr="004D3642" w:rsidRDefault="004D3642" w:rsidP="004D3642">
      <w:pPr>
        <w:numPr>
          <w:ilvl w:val="0"/>
          <w:numId w:val="128"/>
        </w:numPr>
        <w:rPr>
          <w:rFonts w:ascii="Arial" w:eastAsiaTheme="majorEastAsia" w:hAnsi="Arial" w:cs="Arial"/>
          <w:sz w:val="24"/>
          <w:szCs w:val="24"/>
          <w:lang w:val="fr-CA"/>
        </w:rPr>
      </w:pPr>
      <w:proofErr w:type="spellStart"/>
      <w:proofErr w:type="gram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prepare</w:t>
      </w:r>
      <w:proofErr w:type="spellEnd"/>
      <w:proofErr w:type="gramEnd"/>
      <w:r w:rsidRPr="004D3642">
        <w:rPr>
          <w:rFonts w:ascii="Arial" w:eastAsiaTheme="majorEastAsia" w:hAnsi="Arial" w:cs="Arial"/>
          <w:sz w:val="24"/>
          <w:szCs w:val="24"/>
          <w:lang w:val="fr-CA"/>
        </w:rPr>
        <w:t xml:space="preserve"> the </w:t>
      </w:r>
      <w:proofErr w:type="spell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definitive</w:t>
      </w:r>
      <w:proofErr w:type="spellEnd"/>
      <w:r w:rsidRPr="004D3642">
        <w:rPr>
          <w:rFonts w:ascii="Arial" w:eastAsiaTheme="majorEastAsia" w:hAnsi="Arial" w:cs="Arial"/>
          <w:sz w:val="24"/>
          <w:szCs w:val="24"/>
          <w:lang w:val="fr-CA"/>
        </w:rPr>
        <w:t xml:space="preserve"> institutions.</w:t>
      </w:r>
    </w:p>
    <w:p w14:paraId="3C6BB3F0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Any ideological instrumentalization is prohibited.</w:t>
      </w:r>
    </w:p>
    <w:p w14:paraId="0AE2D230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Article 9 — Full Transparency</w:t>
      </w:r>
    </w:p>
    <w:p w14:paraId="3AA6204E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All transitional decisions are:</w:t>
      </w:r>
    </w:p>
    <w:p w14:paraId="123211E7" w14:textId="77777777" w:rsidR="004D3642" w:rsidRPr="004D3642" w:rsidRDefault="004D3642" w:rsidP="004D3642">
      <w:pPr>
        <w:numPr>
          <w:ilvl w:val="0"/>
          <w:numId w:val="129"/>
        </w:numPr>
        <w:rPr>
          <w:rFonts w:ascii="Arial" w:eastAsiaTheme="majorEastAsia" w:hAnsi="Arial" w:cs="Arial"/>
          <w:sz w:val="24"/>
          <w:szCs w:val="24"/>
          <w:lang w:val="fr-CA"/>
        </w:rPr>
      </w:pPr>
      <w:proofErr w:type="spellStart"/>
      <w:proofErr w:type="gram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reasoned</w:t>
      </w:r>
      <w:proofErr w:type="spellEnd"/>
      <w:proofErr w:type="gramEnd"/>
      <w:r w:rsidRPr="004D3642">
        <w:rPr>
          <w:rFonts w:ascii="Arial" w:eastAsiaTheme="majorEastAsia" w:hAnsi="Arial" w:cs="Arial"/>
          <w:sz w:val="24"/>
          <w:szCs w:val="24"/>
          <w:lang w:val="fr-CA"/>
        </w:rPr>
        <w:t>;</w:t>
      </w:r>
    </w:p>
    <w:p w14:paraId="25E57BEC" w14:textId="77777777" w:rsidR="004D3642" w:rsidRPr="004D3642" w:rsidRDefault="004D3642" w:rsidP="004D3642">
      <w:pPr>
        <w:numPr>
          <w:ilvl w:val="0"/>
          <w:numId w:val="129"/>
        </w:numPr>
        <w:rPr>
          <w:rFonts w:ascii="Arial" w:eastAsiaTheme="majorEastAsia" w:hAnsi="Arial" w:cs="Arial"/>
          <w:sz w:val="24"/>
          <w:szCs w:val="24"/>
          <w:lang w:val="fr-CA"/>
        </w:rPr>
      </w:pPr>
      <w:proofErr w:type="spellStart"/>
      <w:proofErr w:type="gram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documented</w:t>
      </w:r>
      <w:proofErr w:type="spellEnd"/>
      <w:proofErr w:type="gramEnd"/>
      <w:r w:rsidRPr="004D3642">
        <w:rPr>
          <w:rFonts w:ascii="Arial" w:eastAsiaTheme="majorEastAsia" w:hAnsi="Arial" w:cs="Arial"/>
          <w:sz w:val="24"/>
          <w:szCs w:val="24"/>
          <w:lang w:val="fr-CA"/>
        </w:rPr>
        <w:t>;</w:t>
      </w:r>
    </w:p>
    <w:p w14:paraId="6FCFDEA1" w14:textId="77777777" w:rsidR="004D3642" w:rsidRPr="004D3642" w:rsidRDefault="004D3642" w:rsidP="004D3642">
      <w:pPr>
        <w:numPr>
          <w:ilvl w:val="0"/>
          <w:numId w:val="129"/>
        </w:num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made public,</w:t>
      </w:r>
      <w:r w:rsidRPr="004D3642">
        <w:rPr>
          <w:rFonts w:ascii="Arial" w:eastAsiaTheme="majorEastAsia" w:hAnsi="Arial" w:cs="Arial"/>
          <w:sz w:val="24"/>
          <w:szCs w:val="24"/>
        </w:rPr>
        <w:br/>
        <w:t>except in cases of immediate risk to personal safety.</w:t>
      </w:r>
    </w:p>
    <w:p w14:paraId="149CB4C9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Article 10 — Personal Responsibility</w:t>
      </w:r>
    </w:p>
    <w:p w14:paraId="5AD044E1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Those responsible for the transition incur personal responsibility in cases of:</w:t>
      </w:r>
    </w:p>
    <w:p w14:paraId="02EF5EFB" w14:textId="77777777" w:rsidR="004D3642" w:rsidRPr="004D3642" w:rsidRDefault="004D3642" w:rsidP="004D3642">
      <w:pPr>
        <w:numPr>
          <w:ilvl w:val="0"/>
          <w:numId w:val="130"/>
        </w:numPr>
        <w:rPr>
          <w:rFonts w:ascii="Arial" w:eastAsiaTheme="majorEastAsia" w:hAnsi="Arial" w:cs="Arial"/>
          <w:sz w:val="24"/>
          <w:szCs w:val="24"/>
          <w:lang w:val="fr-CA"/>
        </w:rPr>
      </w:pPr>
      <w:proofErr w:type="gramStart"/>
      <w:r w:rsidRPr="004D3642">
        <w:rPr>
          <w:rFonts w:ascii="Arial" w:eastAsiaTheme="majorEastAsia" w:hAnsi="Arial" w:cs="Arial"/>
          <w:sz w:val="24"/>
          <w:szCs w:val="24"/>
          <w:lang w:val="fr-CA"/>
        </w:rPr>
        <w:lastRenderedPageBreak/>
        <w:t>abuse</w:t>
      </w:r>
      <w:proofErr w:type="gramEnd"/>
      <w:r w:rsidRPr="004D3642">
        <w:rPr>
          <w:rFonts w:ascii="Arial" w:eastAsiaTheme="majorEastAsia" w:hAnsi="Arial" w:cs="Arial"/>
          <w:sz w:val="24"/>
          <w:szCs w:val="24"/>
          <w:lang w:val="fr-CA"/>
        </w:rPr>
        <w:t>;</w:t>
      </w:r>
    </w:p>
    <w:p w14:paraId="341B8499" w14:textId="77777777" w:rsidR="004D3642" w:rsidRPr="004D3642" w:rsidRDefault="004D3642" w:rsidP="004D3642">
      <w:pPr>
        <w:numPr>
          <w:ilvl w:val="0"/>
          <w:numId w:val="130"/>
        </w:numPr>
        <w:rPr>
          <w:rFonts w:ascii="Arial" w:eastAsiaTheme="majorEastAsia" w:hAnsi="Arial" w:cs="Arial"/>
          <w:sz w:val="24"/>
          <w:szCs w:val="24"/>
          <w:lang w:val="fr-CA"/>
        </w:rPr>
      </w:pPr>
      <w:proofErr w:type="spellStart"/>
      <w:proofErr w:type="gram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concealment</w:t>
      </w:r>
      <w:proofErr w:type="spellEnd"/>
      <w:proofErr w:type="gramEnd"/>
      <w:r w:rsidRPr="004D3642">
        <w:rPr>
          <w:rFonts w:ascii="Arial" w:eastAsiaTheme="majorEastAsia" w:hAnsi="Arial" w:cs="Arial"/>
          <w:sz w:val="24"/>
          <w:szCs w:val="24"/>
          <w:lang w:val="fr-CA"/>
        </w:rPr>
        <w:t>;</w:t>
      </w:r>
    </w:p>
    <w:p w14:paraId="1EBAAB04" w14:textId="77777777" w:rsidR="004D3642" w:rsidRPr="004D3642" w:rsidRDefault="004D3642" w:rsidP="004D3642">
      <w:pPr>
        <w:numPr>
          <w:ilvl w:val="0"/>
          <w:numId w:val="130"/>
        </w:numPr>
        <w:rPr>
          <w:rFonts w:ascii="Arial" w:eastAsiaTheme="majorEastAsia" w:hAnsi="Arial" w:cs="Arial"/>
          <w:sz w:val="24"/>
          <w:szCs w:val="24"/>
          <w:lang w:val="fr-CA"/>
        </w:rPr>
      </w:pPr>
      <w:proofErr w:type="spellStart"/>
      <w:proofErr w:type="gram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constitutional</w:t>
      </w:r>
      <w:proofErr w:type="spellEnd"/>
      <w:proofErr w:type="gramEnd"/>
      <w:r w:rsidRPr="004D3642">
        <w:rPr>
          <w:rFonts w:ascii="Arial" w:eastAsiaTheme="majorEastAsia" w:hAnsi="Arial" w:cs="Arial"/>
          <w:sz w:val="24"/>
          <w:szCs w:val="24"/>
          <w:lang w:val="fr-CA"/>
        </w:rPr>
        <w:t xml:space="preserve"> </w:t>
      </w:r>
      <w:proofErr w:type="spell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circumvention</w:t>
      </w:r>
      <w:proofErr w:type="spellEnd"/>
      <w:r w:rsidRPr="004D3642">
        <w:rPr>
          <w:rFonts w:ascii="Arial" w:eastAsiaTheme="majorEastAsia" w:hAnsi="Arial" w:cs="Arial"/>
          <w:sz w:val="24"/>
          <w:szCs w:val="24"/>
          <w:lang w:val="fr-CA"/>
        </w:rPr>
        <w:t>.</w:t>
      </w:r>
    </w:p>
    <w:p w14:paraId="7A3F833A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  <w:lang w:val="fr-CA"/>
        </w:rPr>
      </w:pPr>
      <w:r w:rsidRPr="004D3642">
        <w:rPr>
          <w:rFonts w:ascii="Arial" w:eastAsiaTheme="majorEastAsia" w:hAnsi="Arial" w:cs="Arial"/>
          <w:sz w:val="24"/>
          <w:szCs w:val="24"/>
          <w:lang w:val="fr-CA"/>
        </w:rPr>
        <w:pict w14:anchorId="5F3BCE70">
          <v:rect id="_x0000_i1332" style="width:0;height:1.5pt" o:hralign="center" o:hrstd="t" o:hr="t" fillcolor="#a0a0a0" stroked="f"/>
        </w:pict>
      </w:r>
    </w:p>
    <w:p w14:paraId="719A52E9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BOOK II</w:t>
      </w:r>
    </w:p>
    <w:p w14:paraId="486BA4D0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TRANSITIONAL INSTITUTIONS AND THEIR LIMITS</w:t>
      </w:r>
    </w:p>
    <w:p w14:paraId="649E9641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Article 11 — Constitutional Transition Authority</w:t>
      </w:r>
    </w:p>
    <w:p w14:paraId="32F71B86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 Constitutional Transition Authority (CTA) is hereby established.</w:t>
      </w:r>
    </w:p>
    <w:p w14:paraId="4CE7AA56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  <w:lang w:val="fr-CA"/>
        </w:rPr>
      </w:pPr>
      <w:proofErr w:type="spell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Its</w:t>
      </w:r>
      <w:proofErr w:type="spellEnd"/>
      <w:r w:rsidRPr="004D3642">
        <w:rPr>
          <w:rFonts w:ascii="Arial" w:eastAsiaTheme="majorEastAsia" w:hAnsi="Arial" w:cs="Arial"/>
          <w:sz w:val="24"/>
          <w:szCs w:val="24"/>
          <w:lang w:val="fr-CA"/>
        </w:rPr>
        <w:t xml:space="preserve"> exclusive mission </w:t>
      </w:r>
      <w:proofErr w:type="spell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is</w:t>
      </w:r>
      <w:proofErr w:type="spellEnd"/>
      <w:r w:rsidRPr="004D3642">
        <w:rPr>
          <w:rFonts w:ascii="Arial" w:eastAsiaTheme="majorEastAsia" w:hAnsi="Arial" w:cs="Arial"/>
          <w:sz w:val="24"/>
          <w:szCs w:val="24"/>
          <w:lang w:val="fr-CA"/>
        </w:rPr>
        <w:t>:</w:t>
      </w:r>
    </w:p>
    <w:p w14:paraId="6E7E8A18" w14:textId="77777777" w:rsidR="004D3642" w:rsidRPr="004D3642" w:rsidRDefault="004D3642" w:rsidP="004D3642">
      <w:pPr>
        <w:numPr>
          <w:ilvl w:val="0"/>
          <w:numId w:val="131"/>
        </w:num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 xml:space="preserve">to ensure progressive application of the </w:t>
      </w:r>
      <w:proofErr w:type="gramStart"/>
      <w:r w:rsidRPr="004D3642">
        <w:rPr>
          <w:rFonts w:ascii="Arial" w:eastAsiaTheme="majorEastAsia" w:hAnsi="Arial" w:cs="Arial"/>
          <w:sz w:val="24"/>
          <w:szCs w:val="24"/>
        </w:rPr>
        <w:t>Constitution;</w:t>
      </w:r>
      <w:proofErr w:type="gramEnd"/>
    </w:p>
    <w:p w14:paraId="0784A74B" w14:textId="77777777" w:rsidR="004D3642" w:rsidRPr="004D3642" w:rsidRDefault="004D3642" w:rsidP="004D3642">
      <w:pPr>
        <w:numPr>
          <w:ilvl w:val="0"/>
          <w:numId w:val="131"/>
        </w:num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 xml:space="preserve">to coordinate continuity of </w:t>
      </w:r>
      <w:proofErr w:type="gramStart"/>
      <w:r w:rsidRPr="004D3642">
        <w:rPr>
          <w:rFonts w:ascii="Arial" w:eastAsiaTheme="majorEastAsia" w:hAnsi="Arial" w:cs="Arial"/>
          <w:sz w:val="24"/>
          <w:szCs w:val="24"/>
        </w:rPr>
        <w:t>services;</w:t>
      </w:r>
      <w:proofErr w:type="gramEnd"/>
    </w:p>
    <w:p w14:paraId="0712A35E" w14:textId="77777777" w:rsidR="004D3642" w:rsidRPr="004D3642" w:rsidRDefault="004D3642" w:rsidP="004D3642">
      <w:pPr>
        <w:numPr>
          <w:ilvl w:val="0"/>
          <w:numId w:val="131"/>
        </w:num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 xml:space="preserve">to </w:t>
      </w:r>
      <w:proofErr w:type="gramStart"/>
      <w:r w:rsidRPr="004D3642">
        <w:rPr>
          <w:rFonts w:ascii="Arial" w:eastAsiaTheme="majorEastAsia" w:hAnsi="Arial" w:cs="Arial"/>
          <w:sz w:val="24"/>
          <w:szCs w:val="24"/>
        </w:rPr>
        <w:t>prepare</w:t>
      </w:r>
      <w:proofErr w:type="gramEnd"/>
      <w:r w:rsidRPr="004D3642">
        <w:rPr>
          <w:rFonts w:ascii="Arial" w:eastAsiaTheme="majorEastAsia" w:hAnsi="Arial" w:cs="Arial"/>
          <w:sz w:val="24"/>
          <w:szCs w:val="24"/>
        </w:rPr>
        <w:t xml:space="preserve"> the establishment of definitive institutions.</w:t>
      </w:r>
    </w:p>
    <w:p w14:paraId="71120CAF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Article 12 — Strictly Temporary Nature</w:t>
      </w:r>
    </w:p>
    <w:p w14:paraId="5C7D96F9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The CTA is strictly temporary.</w:t>
      </w:r>
    </w:p>
    <w:p w14:paraId="5915C2F8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Its maximum duration is fixed by the Constitution and may be extended only through popular consultation.</w:t>
      </w:r>
    </w:p>
    <w:p w14:paraId="32E58F3E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Article 13 — Limited Competence</w:t>
      </w:r>
    </w:p>
    <w:p w14:paraId="2BB50DA0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The CTA may not:</w:t>
      </w:r>
    </w:p>
    <w:p w14:paraId="5BD86D45" w14:textId="77777777" w:rsidR="004D3642" w:rsidRPr="004D3642" w:rsidRDefault="004D3642" w:rsidP="004D3642">
      <w:pPr>
        <w:numPr>
          <w:ilvl w:val="0"/>
          <w:numId w:val="132"/>
        </w:numPr>
        <w:rPr>
          <w:rFonts w:ascii="Arial" w:eastAsiaTheme="majorEastAsia" w:hAnsi="Arial" w:cs="Arial"/>
          <w:sz w:val="24"/>
          <w:szCs w:val="24"/>
          <w:lang w:val="fr-CA"/>
        </w:rPr>
      </w:pPr>
      <w:proofErr w:type="spellStart"/>
      <w:proofErr w:type="gram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amend</w:t>
      </w:r>
      <w:proofErr w:type="spellEnd"/>
      <w:proofErr w:type="gramEnd"/>
      <w:r w:rsidRPr="004D3642">
        <w:rPr>
          <w:rFonts w:ascii="Arial" w:eastAsiaTheme="majorEastAsia" w:hAnsi="Arial" w:cs="Arial"/>
          <w:sz w:val="24"/>
          <w:szCs w:val="24"/>
          <w:lang w:val="fr-CA"/>
        </w:rPr>
        <w:t xml:space="preserve"> the Constitution;</w:t>
      </w:r>
    </w:p>
    <w:p w14:paraId="18E4C81C" w14:textId="77777777" w:rsidR="004D3642" w:rsidRPr="004D3642" w:rsidRDefault="004D3642" w:rsidP="004D3642">
      <w:pPr>
        <w:numPr>
          <w:ilvl w:val="0"/>
          <w:numId w:val="132"/>
        </w:numPr>
        <w:rPr>
          <w:rFonts w:ascii="Arial" w:eastAsiaTheme="majorEastAsia" w:hAnsi="Arial" w:cs="Arial"/>
          <w:sz w:val="24"/>
          <w:szCs w:val="24"/>
          <w:lang w:val="fr-CA"/>
        </w:rPr>
      </w:pPr>
      <w:proofErr w:type="spellStart"/>
      <w:proofErr w:type="gram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create</w:t>
      </w:r>
      <w:proofErr w:type="spellEnd"/>
      <w:proofErr w:type="gramEnd"/>
      <w:r w:rsidRPr="004D3642">
        <w:rPr>
          <w:rFonts w:ascii="Arial" w:eastAsiaTheme="majorEastAsia" w:hAnsi="Arial" w:cs="Arial"/>
          <w:sz w:val="24"/>
          <w:szCs w:val="24"/>
          <w:lang w:val="fr-CA"/>
        </w:rPr>
        <w:t xml:space="preserve"> new </w:t>
      </w:r>
      <w:proofErr w:type="spell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rights</w:t>
      </w:r>
      <w:proofErr w:type="spellEnd"/>
      <w:r w:rsidRPr="004D3642">
        <w:rPr>
          <w:rFonts w:ascii="Arial" w:eastAsiaTheme="majorEastAsia" w:hAnsi="Arial" w:cs="Arial"/>
          <w:sz w:val="24"/>
          <w:szCs w:val="24"/>
          <w:lang w:val="fr-CA"/>
        </w:rPr>
        <w:t>;</w:t>
      </w:r>
    </w:p>
    <w:p w14:paraId="1BDD9E0F" w14:textId="77777777" w:rsidR="004D3642" w:rsidRPr="004D3642" w:rsidRDefault="004D3642" w:rsidP="004D3642">
      <w:pPr>
        <w:numPr>
          <w:ilvl w:val="0"/>
          <w:numId w:val="132"/>
        </w:numPr>
        <w:rPr>
          <w:rFonts w:ascii="Arial" w:eastAsiaTheme="majorEastAsia" w:hAnsi="Arial" w:cs="Arial"/>
          <w:sz w:val="24"/>
          <w:szCs w:val="24"/>
          <w:lang w:val="fr-CA"/>
        </w:rPr>
      </w:pPr>
      <w:proofErr w:type="spellStart"/>
      <w:proofErr w:type="gram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restrict</w:t>
      </w:r>
      <w:proofErr w:type="spellEnd"/>
      <w:proofErr w:type="gramEnd"/>
      <w:r w:rsidRPr="004D3642">
        <w:rPr>
          <w:rFonts w:ascii="Arial" w:eastAsiaTheme="majorEastAsia" w:hAnsi="Arial" w:cs="Arial"/>
          <w:sz w:val="24"/>
          <w:szCs w:val="24"/>
          <w:lang w:val="fr-CA"/>
        </w:rPr>
        <w:t xml:space="preserve"> </w:t>
      </w:r>
      <w:proofErr w:type="spell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freedoms</w:t>
      </w:r>
      <w:proofErr w:type="spellEnd"/>
      <w:r w:rsidRPr="004D3642">
        <w:rPr>
          <w:rFonts w:ascii="Arial" w:eastAsiaTheme="majorEastAsia" w:hAnsi="Arial" w:cs="Arial"/>
          <w:sz w:val="24"/>
          <w:szCs w:val="24"/>
          <w:lang w:val="fr-CA"/>
        </w:rPr>
        <w:t>;</w:t>
      </w:r>
    </w:p>
    <w:p w14:paraId="20056EA8" w14:textId="77777777" w:rsidR="004D3642" w:rsidRPr="004D3642" w:rsidRDefault="004D3642" w:rsidP="004D3642">
      <w:pPr>
        <w:numPr>
          <w:ilvl w:val="0"/>
          <w:numId w:val="132"/>
        </w:numPr>
        <w:rPr>
          <w:rFonts w:ascii="Arial" w:eastAsiaTheme="majorEastAsia" w:hAnsi="Arial" w:cs="Arial"/>
          <w:sz w:val="24"/>
          <w:szCs w:val="24"/>
          <w:lang w:val="fr-CA"/>
        </w:rPr>
      </w:pPr>
      <w:proofErr w:type="spellStart"/>
      <w:proofErr w:type="gram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conclude</w:t>
      </w:r>
      <w:proofErr w:type="spellEnd"/>
      <w:proofErr w:type="gramEnd"/>
      <w:r w:rsidRPr="004D3642">
        <w:rPr>
          <w:rFonts w:ascii="Arial" w:eastAsiaTheme="majorEastAsia" w:hAnsi="Arial" w:cs="Arial"/>
          <w:sz w:val="24"/>
          <w:szCs w:val="24"/>
          <w:lang w:val="fr-CA"/>
        </w:rPr>
        <w:t xml:space="preserve"> </w:t>
      </w:r>
      <w:proofErr w:type="spell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irreversible</w:t>
      </w:r>
      <w:proofErr w:type="spellEnd"/>
      <w:r w:rsidRPr="004D3642">
        <w:rPr>
          <w:rFonts w:ascii="Arial" w:eastAsiaTheme="majorEastAsia" w:hAnsi="Arial" w:cs="Arial"/>
          <w:sz w:val="24"/>
          <w:szCs w:val="24"/>
          <w:lang w:val="fr-CA"/>
        </w:rPr>
        <w:t xml:space="preserve"> </w:t>
      </w:r>
      <w:proofErr w:type="spell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commitments</w:t>
      </w:r>
      <w:proofErr w:type="spellEnd"/>
      <w:r w:rsidRPr="004D3642">
        <w:rPr>
          <w:rFonts w:ascii="Arial" w:eastAsiaTheme="majorEastAsia" w:hAnsi="Arial" w:cs="Arial"/>
          <w:sz w:val="24"/>
          <w:szCs w:val="24"/>
          <w:lang w:val="fr-CA"/>
        </w:rPr>
        <w:t>.</w:t>
      </w:r>
    </w:p>
    <w:p w14:paraId="0B72E845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  <w:lang w:val="fr-CA"/>
        </w:rPr>
      </w:pPr>
      <w:r w:rsidRPr="004D3642">
        <w:rPr>
          <w:rFonts w:ascii="Arial" w:eastAsiaTheme="majorEastAsia" w:hAnsi="Arial" w:cs="Arial"/>
          <w:sz w:val="24"/>
          <w:szCs w:val="24"/>
          <w:lang w:val="fr-CA"/>
        </w:rPr>
        <w:t>Article 14 — Prohibition of Power Concentration</w:t>
      </w:r>
    </w:p>
    <w:p w14:paraId="52454C3F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No member of the CTA may accumulate:</w:t>
      </w:r>
    </w:p>
    <w:p w14:paraId="478AFB08" w14:textId="77777777" w:rsidR="004D3642" w:rsidRPr="004D3642" w:rsidRDefault="004D3642" w:rsidP="004D3642">
      <w:pPr>
        <w:numPr>
          <w:ilvl w:val="0"/>
          <w:numId w:val="133"/>
        </w:numPr>
        <w:rPr>
          <w:rFonts w:ascii="Arial" w:eastAsiaTheme="majorEastAsia" w:hAnsi="Arial" w:cs="Arial"/>
          <w:sz w:val="24"/>
          <w:szCs w:val="24"/>
          <w:lang w:val="fr-CA"/>
        </w:rPr>
      </w:pPr>
      <w:proofErr w:type="spellStart"/>
      <w:proofErr w:type="gram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executive</w:t>
      </w:r>
      <w:proofErr w:type="spellEnd"/>
      <w:proofErr w:type="gramEnd"/>
      <w:r w:rsidRPr="004D3642">
        <w:rPr>
          <w:rFonts w:ascii="Arial" w:eastAsiaTheme="majorEastAsia" w:hAnsi="Arial" w:cs="Arial"/>
          <w:sz w:val="24"/>
          <w:szCs w:val="24"/>
          <w:lang w:val="fr-CA"/>
        </w:rPr>
        <w:t xml:space="preserve"> </w:t>
      </w:r>
      <w:proofErr w:type="spell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functions</w:t>
      </w:r>
      <w:proofErr w:type="spellEnd"/>
      <w:r w:rsidRPr="004D3642">
        <w:rPr>
          <w:rFonts w:ascii="Arial" w:eastAsiaTheme="majorEastAsia" w:hAnsi="Arial" w:cs="Arial"/>
          <w:sz w:val="24"/>
          <w:szCs w:val="24"/>
          <w:lang w:val="fr-CA"/>
        </w:rPr>
        <w:t>;</w:t>
      </w:r>
    </w:p>
    <w:p w14:paraId="39CD3C32" w14:textId="77777777" w:rsidR="004D3642" w:rsidRPr="004D3642" w:rsidRDefault="004D3642" w:rsidP="004D3642">
      <w:pPr>
        <w:numPr>
          <w:ilvl w:val="0"/>
          <w:numId w:val="133"/>
        </w:numPr>
        <w:rPr>
          <w:rFonts w:ascii="Arial" w:eastAsiaTheme="majorEastAsia" w:hAnsi="Arial" w:cs="Arial"/>
          <w:sz w:val="24"/>
          <w:szCs w:val="24"/>
          <w:lang w:val="fr-CA"/>
        </w:rPr>
      </w:pPr>
      <w:proofErr w:type="spellStart"/>
      <w:proofErr w:type="gram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legislative</w:t>
      </w:r>
      <w:proofErr w:type="spellEnd"/>
      <w:proofErr w:type="gramEnd"/>
      <w:r w:rsidRPr="004D3642">
        <w:rPr>
          <w:rFonts w:ascii="Arial" w:eastAsiaTheme="majorEastAsia" w:hAnsi="Arial" w:cs="Arial"/>
          <w:sz w:val="24"/>
          <w:szCs w:val="24"/>
          <w:lang w:val="fr-CA"/>
        </w:rPr>
        <w:t xml:space="preserve"> </w:t>
      </w:r>
      <w:proofErr w:type="spell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functions</w:t>
      </w:r>
      <w:proofErr w:type="spellEnd"/>
      <w:r w:rsidRPr="004D3642">
        <w:rPr>
          <w:rFonts w:ascii="Arial" w:eastAsiaTheme="majorEastAsia" w:hAnsi="Arial" w:cs="Arial"/>
          <w:sz w:val="24"/>
          <w:szCs w:val="24"/>
          <w:lang w:val="fr-CA"/>
        </w:rPr>
        <w:t>;</w:t>
      </w:r>
    </w:p>
    <w:p w14:paraId="118B1F49" w14:textId="77777777" w:rsidR="004D3642" w:rsidRPr="004D3642" w:rsidRDefault="004D3642" w:rsidP="004D3642">
      <w:pPr>
        <w:numPr>
          <w:ilvl w:val="0"/>
          <w:numId w:val="133"/>
        </w:numPr>
        <w:rPr>
          <w:rFonts w:ascii="Arial" w:eastAsiaTheme="majorEastAsia" w:hAnsi="Arial" w:cs="Arial"/>
          <w:sz w:val="24"/>
          <w:szCs w:val="24"/>
          <w:lang w:val="fr-CA"/>
        </w:rPr>
      </w:pPr>
      <w:proofErr w:type="spellStart"/>
      <w:proofErr w:type="gram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judicial</w:t>
      </w:r>
      <w:proofErr w:type="spellEnd"/>
      <w:proofErr w:type="gramEnd"/>
      <w:r w:rsidRPr="004D3642">
        <w:rPr>
          <w:rFonts w:ascii="Arial" w:eastAsiaTheme="majorEastAsia" w:hAnsi="Arial" w:cs="Arial"/>
          <w:sz w:val="24"/>
          <w:szCs w:val="24"/>
          <w:lang w:val="fr-CA"/>
        </w:rPr>
        <w:t xml:space="preserve"> </w:t>
      </w:r>
      <w:proofErr w:type="spell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functions</w:t>
      </w:r>
      <w:proofErr w:type="spellEnd"/>
      <w:r w:rsidRPr="004D3642">
        <w:rPr>
          <w:rFonts w:ascii="Arial" w:eastAsiaTheme="majorEastAsia" w:hAnsi="Arial" w:cs="Arial"/>
          <w:sz w:val="24"/>
          <w:szCs w:val="24"/>
          <w:lang w:val="fr-CA"/>
        </w:rPr>
        <w:t>.</w:t>
      </w:r>
    </w:p>
    <w:p w14:paraId="213BF42F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Separation of powers remains effective.</w:t>
      </w:r>
    </w:p>
    <w:p w14:paraId="14137F8D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Article 15 — Pluralistic Composition</w:t>
      </w:r>
    </w:p>
    <w:p w14:paraId="4B10FAD8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The composition of the CTA must ensure:</w:t>
      </w:r>
    </w:p>
    <w:p w14:paraId="65741A44" w14:textId="77777777" w:rsidR="004D3642" w:rsidRPr="004D3642" w:rsidRDefault="004D3642" w:rsidP="004D3642">
      <w:pPr>
        <w:numPr>
          <w:ilvl w:val="0"/>
          <w:numId w:val="134"/>
        </w:numPr>
        <w:rPr>
          <w:rFonts w:ascii="Arial" w:eastAsiaTheme="majorEastAsia" w:hAnsi="Arial" w:cs="Arial"/>
          <w:sz w:val="24"/>
          <w:szCs w:val="24"/>
          <w:lang w:val="fr-CA"/>
        </w:rPr>
      </w:pPr>
      <w:proofErr w:type="spellStart"/>
      <w:proofErr w:type="gram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plurality</w:t>
      </w:r>
      <w:proofErr w:type="spellEnd"/>
      <w:proofErr w:type="gramEnd"/>
      <w:r w:rsidRPr="004D3642">
        <w:rPr>
          <w:rFonts w:ascii="Arial" w:eastAsiaTheme="majorEastAsia" w:hAnsi="Arial" w:cs="Arial"/>
          <w:sz w:val="24"/>
          <w:szCs w:val="24"/>
          <w:lang w:val="fr-CA"/>
        </w:rPr>
        <w:t xml:space="preserve"> of </w:t>
      </w:r>
      <w:proofErr w:type="spell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viewpoints</w:t>
      </w:r>
      <w:proofErr w:type="spellEnd"/>
      <w:r w:rsidRPr="004D3642">
        <w:rPr>
          <w:rFonts w:ascii="Arial" w:eastAsiaTheme="majorEastAsia" w:hAnsi="Arial" w:cs="Arial"/>
          <w:sz w:val="24"/>
          <w:szCs w:val="24"/>
          <w:lang w:val="fr-CA"/>
        </w:rPr>
        <w:t>;</w:t>
      </w:r>
    </w:p>
    <w:p w14:paraId="32208ED3" w14:textId="77777777" w:rsidR="004D3642" w:rsidRPr="004D3642" w:rsidRDefault="004D3642" w:rsidP="004D3642">
      <w:pPr>
        <w:numPr>
          <w:ilvl w:val="0"/>
          <w:numId w:val="134"/>
        </w:numPr>
        <w:rPr>
          <w:rFonts w:ascii="Arial" w:eastAsiaTheme="majorEastAsia" w:hAnsi="Arial" w:cs="Arial"/>
          <w:sz w:val="24"/>
          <w:szCs w:val="24"/>
          <w:lang w:val="fr-CA"/>
        </w:rPr>
      </w:pPr>
      <w:proofErr w:type="spellStart"/>
      <w:proofErr w:type="gramStart"/>
      <w:r w:rsidRPr="004D3642">
        <w:rPr>
          <w:rFonts w:ascii="Arial" w:eastAsiaTheme="majorEastAsia" w:hAnsi="Arial" w:cs="Arial"/>
          <w:sz w:val="24"/>
          <w:szCs w:val="24"/>
          <w:lang w:val="fr-CA"/>
        </w:rPr>
        <w:lastRenderedPageBreak/>
        <w:t>demonstrated</w:t>
      </w:r>
      <w:proofErr w:type="spellEnd"/>
      <w:proofErr w:type="gramEnd"/>
      <w:r w:rsidRPr="004D3642">
        <w:rPr>
          <w:rFonts w:ascii="Arial" w:eastAsiaTheme="majorEastAsia" w:hAnsi="Arial" w:cs="Arial"/>
          <w:sz w:val="24"/>
          <w:szCs w:val="24"/>
          <w:lang w:val="fr-CA"/>
        </w:rPr>
        <w:t xml:space="preserve"> </w:t>
      </w:r>
      <w:proofErr w:type="spell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competence</w:t>
      </w:r>
      <w:proofErr w:type="spellEnd"/>
      <w:r w:rsidRPr="004D3642">
        <w:rPr>
          <w:rFonts w:ascii="Arial" w:eastAsiaTheme="majorEastAsia" w:hAnsi="Arial" w:cs="Arial"/>
          <w:sz w:val="24"/>
          <w:szCs w:val="24"/>
          <w:lang w:val="fr-CA"/>
        </w:rPr>
        <w:t>;</w:t>
      </w:r>
    </w:p>
    <w:p w14:paraId="2614129D" w14:textId="77777777" w:rsidR="004D3642" w:rsidRPr="004D3642" w:rsidRDefault="004D3642" w:rsidP="004D3642">
      <w:pPr>
        <w:numPr>
          <w:ilvl w:val="0"/>
          <w:numId w:val="134"/>
        </w:num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absence of conflicts of interest.</w:t>
      </w:r>
    </w:p>
    <w:p w14:paraId="6B1AE254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Any affiliation with foreign or supranational interests is prohibited.</w:t>
      </w:r>
    </w:p>
    <w:p w14:paraId="0169B3CB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Article 16 — Permanent Oversight</w:t>
      </w:r>
    </w:p>
    <w:p w14:paraId="4F232F36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The CTA is subject to:</w:t>
      </w:r>
    </w:p>
    <w:p w14:paraId="13D71ADD" w14:textId="77777777" w:rsidR="004D3642" w:rsidRPr="004D3642" w:rsidRDefault="004D3642" w:rsidP="004D3642">
      <w:pPr>
        <w:numPr>
          <w:ilvl w:val="0"/>
          <w:numId w:val="135"/>
        </w:numPr>
        <w:rPr>
          <w:rFonts w:ascii="Arial" w:eastAsiaTheme="majorEastAsia" w:hAnsi="Arial" w:cs="Arial"/>
          <w:sz w:val="24"/>
          <w:szCs w:val="24"/>
          <w:lang w:val="fr-CA"/>
        </w:rPr>
      </w:pPr>
      <w:proofErr w:type="spellStart"/>
      <w:proofErr w:type="gram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reinforced</w:t>
      </w:r>
      <w:proofErr w:type="spellEnd"/>
      <w:proofErr w:type="gramEnd"/>
      <w:r w:rsidRPr="004D3642">
        <w:rPr>
          <w:rFonts w:ascii="Arial" w:eastAsiaTheme="majorEastAsia" w:hAnsi="Arial" w:cs="Arial"/>
          <w:sz w:val="24"/>
          <w:szCs w:val="24"/>
          <w:lang w:val="fr-CA"/>
        </w:rPr>
        <w:t xml:space="preserve"> </w:t>
      </w:r>
      <w:proofErr w:type="spell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parliamentary</w:t>
      </w:r>
      <w:proofErr w:type="spellEnd"/>
      <w:r w:rsidRPr="004D3642">
        <w:rPr>
          <w:rFonts w:ascii="Arial" w:eastAsiaTheme="majorEastAsia" w:hAnsi="Arial" w:cs="Arial"/>
          <w:sz w:val="24"/>
          <w:szCs w:val="24"/>
          <w:lang w:val="fr-CA"/>
        </w:rPr>
        <w:t xml:space="preserve"> </w:t>
      </w:r>
      <w:proofErr w:type="spell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oversight</w:t>
      </w:r>
      <w:proofErr w:type="spellEnd"/>
      <w:r w:rsidRPr="004D3642">
        <w:rPr>
          <w:rFonts w:ascii="Arial" w:eastAsiaTheme="majorEastAsia" w:hAnsi="Arial" w:cs="Arial"/>
          <w:sz w:val="24"/>
          <w:szCs w:val="24"/>
          <w:lang w:val="fr-CA"/>
        </w:rPr>
        <w:t>;</w:t>
      </w:r>
    </w:p>
    <w:p w14:paraId="3E2E52F9" w14:textId="77777777" w:rsidR="004D3642" w:rsidRPr="004D3642" w:rsidRDefault="004D3642" w:rsidP="004D3642">
      <w:pPr>
        <w:numPr>
          <w:ilvl w:val="0"/>
          <w:numId w:val="135"/>
        </w:numPr>
        <w:rPr>
          <w:rFonts w:ascii="Arial" w:eastAsiaTheme="majorEastAsia" w:hAnsi="Arial" w:cs="Arial"/>
          <w:sz w:val="24"/>
          <w:szCs w:val="24"/>
          <w:lang w:val="fr-CA"/>
        </w:rPr>
      </w:pPr>
      <w:proofErr w:type="gram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permanent</w:t>
      </w:r>
      <w:proofErr w:type="gramEnd"/>
      <w:r w:rsidRPr="004D3642">
        <w:rPr>
          <w:rFonts w:ascii="Arial" w:eastAsiaTheme="majorEastAsia" w:hAnsi="Arial" w:cs="Arial"/>
          <w:sz w:val="24"/>
          <w:szCs w:val="24"/>
          <w:lang w:val="fr-CA"/>
        </w:rPr>
        <w:t xml:space="preserve"> </w:t>
      </w:r>
      <w:proofErr w:type="spell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judicial</w:t>
      </w:r>
      <w:proofErr w:type="spellEnd"/>
      <w:r w:rsidRPr="004D3642">
        <w:rPr>
          <w:rFonts w:ascii="Arial" w:eastAsiaTheme="majorEastAsia" w:hAnsi="Arial" w:cs="Arial"/>
          <w:sz w:val="24"/>
          <w:szCs w:val="24"/>
          <w:lang w:val="fr-CA"/>
        </w:rPr>
        <w:t xml:space="preserve"> </w:t>
      </w:r>
      <w:proofErr w:type="spell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review</w:t>
      </w:r>
      <w:proofErr w:type="spellEnd"/>
      <w:r w:rsidRPr="004D3642">
        <w:rPr>
          <w:rFonts w:ascii="Arial" w:eastAsiaTheme="majorEastAsia" w:hAnsi="Arial" w:cs="Arial"/>
          <w:sz w:val="24"/>
          <w:szCs w:val="24"/>
          <w:lang w:val="fr-CA"/>
        </w:rPr>
        <w:t>;</w:t>
      </w:r>
    </w:p>
    <w:p w14:paraId="1231E743" w14:textId="77777777" w:rsidR="004D3642" w:rsidRPr="004D3642" w:rsidRDefault="004D3642" w:rsidP="004D3642">
      <w:pPr>
        <w:numPr>
          <w:ilvl w:val="0"/>
          <w:numId w:val="135"/>
        </w:numPr>
        <w:rPr>
          <w:rFonts w:ascii="Arial" w:eastAsiaTheme="majorEastAsia" w:hAnsi="Arial" w:cs="Arial"/>
          <w:sz w:val="24"/>
          <w:szCs w:val="24"/>
          <w:lang w:val="fr-CA"/>
        </w:rPr>
      </w:pPr>
      <w:proofErr w:type="spellStart"/>
      <w:proofErr w:type="gram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citizen</w:t>
      </w:r>
      <w:proofErr w:type="spellEnd"/>
      <w:proofErr w:type="gramEnd"/>
      <w:r w:rsidRPr="004D3642">
        <w:rPr>
          <w:rFonts w:ascii="Arial" w:eastAsiaTheme="majorEastAsia" w:hAnsi="Arial" w:cs="Arial"/>
          <w:sz w:val="24"/>
          <w:szCs w:val="24"/>
          <w:lang w:val="fr-CA"/>
        </w:rPr>
        <w:t xml:space="preserve"> </w:t>
      </w:r>
      <w:proofErr w:type="spell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oversight</w:t>
      </w:r>
      <w:proofErr w:type="spellEnd"/>
      <w:r w:rsidRPr="004D3642">
        <w:rPr>
          <w:rFonts w:ascii="Arial" w:eastAsiaTheme="majorEastAsia" w:hAnsi="Arial" w:cs="Arial"/>
          <w:sz w:val="24"/>
          <w:szCs w:val="24"/>
          <w:lang w:val="fr-CA"/>
        </w:rPr>
        <w:t xml:space="preserve"> </w:t>
      </w:r>
      <w:proofErr w:type="spellStart"/>
      <w:r w:rsidRPr="004D3642">
        <w:rPr>
          <w:rFonts w:ascii="Arial" w:eastAsiaTheme="majorEastAsia" w:hAnsi="Arial" w:cs="Arial"/>
          <w:sz w:val="24"/>
          <w:szCs w:val="24"/>
          <w:lang w:val="fr-CA"/>
        </w:rPr>
        <w:t>mechanisms</w:t>
      </w:r>
      <w:proofErr w:type="spellEnd"/>
      <w:r w:rsidRPr="004D3642">
        <w:rPr>
          <w:rFonts w:ascii="Arial" w:eastAsiaTheme="majorEastAsia" w:hAnsi="Arial" w:cs="Arial"/>
          <w:sz w:val="24"/>
          <w:szCs w:val="24"/>
          <w:lang w:val="fr-CA"/>
        </w:rPr>
        <w:t>.</w:t>
      </w:r>
    </w:p>
    <w:p w14:paraId="1F81AFC9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Article 17 — Transparency of Proceedings</w:t>
      </w:r>
    </w:p>
    <w:p w14:paraId="4D417F92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The deliberations, decisions, and documents of the CTA are public by default.</w:t>
      </w:r>
    </w:p>
    <w:p w14:paraId="64C7DDCD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Any exception must be strictly justified.</w:t>
      </w:r>
    </w:p>
    <w:p w14:paraId="6294F28A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Article 18 — Individual Responsibility</w:t>
      </w:r>
    </w:p>
    <w:p w14:paraId="072975A6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Each member of the CTA incurs personal responsibility for their decisions.</w:t>
      </w:r>
    </w:p>
    <w:p w14:paraId="5C9308CA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No general immunity is granted.</w:t>
      </w:r>
    </w:p>
    <w:p w14:paraId="0FC52306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Article 19 — Prohibition of Capture</w:t>
      </w:r>
    </w:p>
    <w:p w14:paraId="18DD5767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It is prohibited for any private entity, multinational corporation, ideological organization, or foreign power to influence the CTA.</w:t>
      </w:r>
    </w:p>
    <w:p w14:paraId="7E6EC30F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Any attempt results in immediate sanctions.</w:t>
      </w:r>
    </w:p>
    <w:p w14:paraId="7A3E22F0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>Article 20 — Automatic Dissolution</w:t>
      </w:r>
    </w:p>
    <w:p w14:paraId="3CCF4135" w14:textId="77777777" w:rsidR="004D3642" w:rsidRPr="004D3642" w:rsidRDefault="004D3642" w:rsidP="004D3642">
      <w:pPr>
        <w:rPr>
          <w:rFonts w:ascii="Arial" w:eastAsiaTheme="majorEastAsia" w:hAnsi="Arial" w:cs="Arial"/>
          <w:sz w:val="24"/>
          <w:szCs w:val="24"/>
        </w:rPr>
      </w:pPr>
      <w:r w:rsidRPr="004D3642">
        <w:rPr>
          <w:rFonts w:ascii="Arial" w:eastAsiaTheme="majorEastAsia" w:hAnsi="Arial" w:cs="Arial"/>
          <w:sz w:val="24"/>
          <w:szCs w:val="24"/>
        </w:rPr>
        <w:t xml:space="preserve">The CTA is dissolved by </w:t>
      </w:r>
      <w:proofErr w:type="gramStart"/>
      <w:r w:rsidRPr="004D3642">
        <w:rPr>
          <w:rFonts w:ascii="Arial" w:eastAsiaTheme="majorEastAsia" w:hAnsi="Arial" w:cs="Arial"/>
          <w:sz w:val="24"/>
          <w:szCs w:val="24"/>
        </w:rPr>
        <w:t>operation of law</w:t>
      </w:r>
      <w:proofErr w:type="gramEnd"/>
      <w:r w:rsidRPr="004D3642">
        <w:rPr>
          <w:rFonts w:ascii="Arial" w:eastAsiaTheme="majorEastAsia" w:hAnsi="Arial" w:cs="Arial"/>
          <w:sz w:val="24"/>
          <w:szCs w:val="24"/>
        </w:rPr>
        <w:t xml:space="preserve"> at the end of the constitutional transition.</w:t>
      </w:r>
    </w:p>
    <w:p w14:paraId="2AC674A2" w14:textId="0734B42A" w:rsidR="00BB3DFA" w:rsidRDefault="004D3642" w:rsidP="004D3642">
      <w:pPr>
        <w:rPr>
          <w:rFonts w:ascii="Arial" w:eastAsiaTheme="majorEastAsia" w:hAnsi="Arial" w:cs="Arial"/>
          <w:sz w:val="24"/>
          <w:szCs w:val="24"/>
          <w:lang w:val="fr-CA"/>
        </w:rPr>
      </w:pPr>
      <w:r w:rsidRPr="004D3642">
        <w:rPr>
          <w:rFonts w:ascii="Arial" w:eastAsiaTheme="majorEastAsia" w:hAnsi="Arial" w:cs="Arial"/>
          <w:sz w:val="24"/>
          <w:szCs w:val="24"/>
          <w:lang w:val="fr-CA"/>
        </w:rPr>
        <w:pict w14:anchorId="62C3A8EF">
          <v:rect id="_x0000_i1335" style="width:0;height:1.5pt" o:hralign="center" o:hrstd="t" o:hr="t" fillcolor="#a0a0a0" stroked="f"/>
        </w:pict>
      </w:r>
    </w:p>
    <w:p w14:paraId="328214FB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BOOK III</w:t>
      </w:r>
    </w:p>
    <w:p w14:paraId="436BA512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LEGAL TRANSITION, NORMS, AND RIGHTS SECURITY</w:t>
      </w:r>
    </w:p>
    <w:p w14:paraId="13A86CBF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21 — Comprehensive Legal Audit</w:t>
      </w:r>
    </w:p>
    <w:p w14:paraId="3F60A09F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Upon the opening of the transition, a comprehensive legal audit is initiated covering:</w:t>
      </w:r>
    </w:p>
    <w:p w14:paraId="78FEC74E" w14:textId="77777777" w:rsidR="005E1CF0" w:rsidRPr="005E1CF0" w:rsidRDefault="005E1CF0" w:rsidP="005E1CF0">
      <w:pPr>
        <w:numPr>
          <w:ilvl w:val="0"/>
          <w:numId w:val="136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5E1CF0">
        <w:rPr>
          <w:rFonts w:ascii="Arial" w:hAnsi="Arial" w:cs="Arial"/>
          <w:sz w:val="24"/>
          <w:szCs w:val="24"/>
          <w:lang w:val="fr-CA"/>
        </w:rPr>
        <w:t>all</w:t>
      </w:r>
      <w:proofErr w:type="gramEnd"/>
      <w:r w:rsidRPr="005E1CF0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laws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 xml:space="preserve"> in force;</w:t>
      </w:r>
    </w:p>
    <w:p w14:paraId="6130E97B" w14:textId="77777777" w:rsidR="005E1CF0" w:rsidRPr="005E1CF0" w:rsidRDefault="005E1CF0" w:rsidP="005E1CF0">
      <w:pPr>
        <w:numPr>
          <w:ilvl w:val="0"/>
          <w:numId w:val="136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5E1CF0">
        <w:rPr>
          <w:rFonts w:ascii="Arial" w:hAnsi="Arial" w:cs="Arial"/>
          <w:sz w:val="24"/>
          <w:szCs w:val="24"/>
          <w:lang w:val="fr-CA"/>
        </w:rPr>
        <w:t>regulations</w:t>
      </w:r>
      <w:proofErr w:type="spellEnd"/>
      <w:proofErr w:type="gramEnd"/>
      <w:r w:rsidRPr="005E1CF0">
        <w:rPr>
          <w:rFonts w:ascii="Arial" w:hAnsi="Arial" w:cs="Arial"/>
          <w:sz w:val="24"/>
          <w:szCs w:val="24"/>
          <w:lang w:val="fr-CA"/>
        </w:rPr>
        <w:t>;</w:t>
      </w:r>
    </w:p>
    <w:p w14:paraId="2C79EE20" w14:textId="77777777" w:rsidR="005E1CF0" w:rsidRPr="005E1CF0" w:rsidRDefault="005E1CF0" w:rsidP="005E1CF0">
      <w:pPr>
        <w:numPr>
          <w:ilvl w:val="0"/>
          <w:numId w:val="136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5E1CF0">
        <w:rPr>
          <w:rFonts w:ascii="Arial" w:hAnsi="Arial" w:cs="Arial"/>
          <w:sz w:val="24"/>
          <w:szCs w:val="24"/>
          <w:lang w:val="fr-CA"/>
        </w:rPr>
        <w:t>public</w:t>
      </w:r>
      <w:proofErr w:type="gramEnd"/>
      <w:r w:rsidRPr="005E1CF0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contracts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>;</w:t>
      </w:r>
    </w:p>
    <w:p w14:paraId="5CB0FE51" w14:textId="77777777" w:rsidR="005E1CF0" w:rsidRPr="005E1CF0" w:rsidRDefault="005E1CF0" w:rsidP="005E1CF0">
      <w:pPr>
        <w:numPr>
          <w:ilvl w:val="0"/>
          <w:numId w:val="136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5E1CF0">
        <w:rPr>
          <w:rFonts w:ascii="Arial" w:hAnsi="Arial" w:cs="Arial"/>
          <w:sz w:val="24"/>
          <w:szCs w:val="24"/>
          <w:lang w:val="fr-CA"/>
        </w:rPr>
        <w:t>administrative</w:t>
      </w:r>
      <w:proofErr w:type="gramEnd"/>
      <w:r w:rsidRPr="005E1CF0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commitments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>.</w:t>
      </w:r>
    </w:p>
    <w:p w14:paraId="0D194837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The audit aims to identify any incompatibility with the Constitution.</w:t>
      </w:r>
    </w:p>
    <w:p w14:paraId="1DF410D8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lastRenderedPageBreak/>
        <w:t>Article 22 — Principle of Controlled Continuity</w:t>
      </w:r>
    </w:p>
    <w:p w14:paraId="3736DE0D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 xml:space="preserve">Existing norms continue to apply </w:t>
      </w:r>
      <w:proofErr w:type="gramStart"/>
      <w:r w:rsidRPr="005E1CF0">
        <w:rPr>
          <w:rFonts w:ascii="Arial" w:hAnsi="Arial" w:cs="Arial"/>
          <w:sz w:val="24"/>
          <w:szCs w:val="24"/>
        </w:rPr>
        <w:t>as long as</w:t>
      </w:r>
      <w:proofErr w:type="gramEnd"/>
      <w:r w:rsidRPr="005E1CF0">
        <w:rPr>
          <w:rFonts w:ascii="Arial" w:hAnsi="Arial" w:cs="Arial"/>
          <w:sz w:val="24"/>
          <w:szCs w:val="24"/>
        </w:rPr>
        <w:t xml:space="preserve"> they are not declared incompatible or replaced.</w:t>
      </w:r>
    </w:p>
    <w:p w14:paraId="4EF1594F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 xml:space="preserve">Any </w:t>
      </w:r>
      <w:proofErr w:type="gramStart"/>
      <w:r w:rsidRPr="005E1CF0">
        <w:rPr>
          <w:rFonts w:ascii="Arial" w:hAnsi="Arial" w:cs="Arial"/>
          <w:sz w:val="24"/>
          <w:szCs w:val="24"/>
        </w:rPr>
        <w:t>repeal</w:t>
      </w:r>
      <w:proofErr w:type="gramEnd"/>
      <w:r w:rsidRPr="005E1CF0">
        <w:rPr>
          <w:rFonts w:ascii="Arial" w:hAnsi="Arial" w:cs="Arial"/>
          <w:sz w:val="24"/>
          <w:szCs w:val="24"/>
        </w:rPr>
        <w:t xml:space="preserve"> without equivalent replacement is prohibited.</w:t>
      </w:r>
    </w:p>
    <w:p w14:paraId="1BFC1B92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23 — Targeted and Reasoned Repeal</w:t>
      </w:r>
    </w:p>
    <w:p w14:paraId="31BA6AC9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Any repeal must be:</w:t>
      </w:r>
    </w:p>
    <w:p w14:paraId="579F6414" w14:textId="77777777" w:rsidR="005E1CF0" w:rsidRPr="005E1CF0" w:rsidRDefault="005E1CF0" w:rsidP="005E1CF0">
      <w:pPr>
        <w:numPr>
          <w:ilvl w:val="0"/>
          <w:numId w:val="137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5E1CF0">
        <w:rPr>
          <w:rFonts w:ascii="Arial" w:hAnsi="Arial" w:cs="Arial"/>
          <w:sz w:val="24"/>
          <w:szCs w:val="24"/>
          <w:lang w:val="fr-CA"/>
        </w:rPr>
        <w:t>targeted</w:t>
      </w:r>
      <w:proofErr w:type="spellEnd"/>
      <w:proofErr w:type="gramEnd"/>
      <w:r w:rsidRPr="005E1CF0">
        <w:rPr>
          <w:rFonts w:ascii="Arial" w:hAnsi="Arial" w:cs="Arial"/>
          <w:sz w:val="24"/>
          <w:szCs w:val="24"/>
          <w:lang w:val="fr-CA"/>
        </w:rPr>
        <w:t>;</w:t>
      </w:r>
    </w:p>
    <w:p w14:paraId="18CF42E9" w14:textId="77777777" w:rsidR="005E1CF0" w:rsidRPr="005E1CF0" w:rsidRDefault="005E1CF0" w:rsidP="005E1CF0">
      <w:pPr>
        <w:numPr>
          <w:ilvl w:val="0"/>
          <w:numId w:val="137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5E1CF0">
        <w:rPr>
          <w:rFonts w:ascii="Arial" w:hAnsi="Arial" w:cs="Arial"/>
          <w:sz w:val="24"/>
          <w:szCs w:val="24"/>
          <w:lang w:val="fr-CA"/>
        </w:rPr>
        <w:t>reasoned</w:t>
      </w:r>
      <w:proofErr w:type="spellEnd"/>
      <w:proofErr w:type="gramEnd"/>
      <w:r w:rsidRPr="005E1CF0">
        <w:rPr>
          <w:rFonts w:ascii="Arial" w:hAnsi="Arial" w:cs="Arial"/>
          <w:sz w:val="24"/>
          <w:szCs w:val="24"/>
          <w:lang w:val="fr-CA"/>
        </w:rPr>
        <w:t xml:space="preserve"> in </w:t>
      </w: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writing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>;</w:t>
      </w:r>
    </w:p>
    <w:p w14:paraId="6246B0D8" w14:textId="77777777" w:rsidR="005E1CF0" w:rsidRPr="005E1CF0" w:rsidRDefault="005E1CF0" w:rsidP="005E1CF0">
      <w:pPr>
        <w:numPr>
          <w:ilvl w:val="0"/>
          <w:numId w:val="137"/>
        </w:num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accompanied by a replacement norm.</w:t>
      </w:r>
    </w:p>
    <w:p w14:paraId="4CFB4441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 xml:space="preserve">Article 24 — Prohibition of </w:t>
      </w:r>
      <w:proofErr w:type="spellStart"/>
      <w:r w:rsidRPr="005E1CF0">
        <w:rPr>
          <w:rFonts w:ascii="Arial" w:hAnsi="Arial" w:cs="Arial"/>
          <w:b/>
          <w:bCs/>
          <w:sz w:val="24"/>
          <w:szCs w:val="24"/>
        </w:rPr>
        <w:t>Unfavourable</w:t>
      </w:r>
      <w:proofErr w:type="spellEnd"/>
      <w:r w:rsidRPr="005E1CF0">
        <w:rPr>
          <w:rFonts w:ascii="Arial" w:hAnsi="Arial" w:cs="Arial"/>
          <w:b/>
          <w:bCs/>
          <w:sz w:val="24"/>
          <w:szCs w:val="24"/>
        </w:rPr>
        <w:t xml:space="preserve"> Retroactivity</w:t>
      </w:r>
    </w:p>
    <w:p w14:paraId="5E766022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 xml:space="preserve">No transitional measure may produce </w:t>
      </w:r>
      <w:proofErr w:type="spellStart"/>
      <w:r w:rsidRPr="005E1CF0">
        <w:rPr>
          <w:rFonts w:ascii="Arial" w:hAnsi="Arial" w:cs="Arial"/>
          <w:sz w:val="24"/>
          <w:szCs w:val="24"/>
        </w:rPr>
        <w:t>unfavourable</w:t>
      </w:r>
      <w:proofErr w:type="spellEnd"/>
      <w:r w:rsidRPr="005E1CF0">
        <w:rPr>
          <w:rFonts w:ascii="Arial" w:hAnsi="Arial" w:cs="Arial"/>
          <w:sz w:val="24"/>
          <w:szCs w:val="24"/>
        </w:rPr>
        <w:t xml:space="preserve"> retroactive effects for citizens.</w:t>
      </w:r>
    </w:p>
    <w:p w14:paraId="7E52CF1D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Legal security is guaranteed.</w:t>
      </w:r>
    </w:p>
    <w:p w14:paraId="49E098C6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25 — Protection of Legitimate Contracts</w:t>
      </w:r>
    </w:p>
    <w:p w14:paraId="4851CCE7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Legitimate contracts concluded in good faith are respected.</w:t>
      </w:r>
    </w:p>
    <w:p w14:paraId="052EA61E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Abusive, opaque, or public-interest–contrary contracts may be revised or terminated without penalty for the State.</w:t>
      </w:r>
    </w:p>
    <w:p w14:paraId="69A78B76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26 — Judicial Continuity</w:t>
      </w:r>
    </w:p>
    <w:p w14:paraId="5B9E2168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Courts remain operational without interruption.</w:t>
      </w:r>
    </w:p>
    <w:p w14:paraId="5C747011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Ongoing proceedings are maintained under adapted rules, without denial of justice.</w:t>
      </w:r>
    </w:p>
    <w:p w14:paraId="79FC1B7B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27 — Normative Harmonization</w:t>
      </w:r>
    </w:p>
    <w:p w14:paraId="57B73FAF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Transitional norms must be progressively harmonized with:</w:t>
      </w:r>
    </w:p>
    <w:p w14:paraId="2C12FC1C" w14:textId="77777777" w:rsidR="005E1CF0" w:rsidRPr="005E1CF0" w:rsidRDefault="005E1CF0" w:rsidP="005E1CF0">
      <w:pPr>
        <w:numPr>
          <w:ilvl w:val="0"/>
          <w:numId w:val="138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5E1CF0">
        <w:rPr>
          <w:rFonts w:ascii="Arial" w:hAnsi="Arial" w:cs="Arial"/>
          <w:sz w:val="24"/>
          <w:szCs w:val="24"/>
          <w:lang w:val="fr-CA"/>
        </w:rPr>
        <w:t>the</w:t>
      </w:r>
      <w:proofErr w:type="gramEnd"/>
      <w:r w:rsidRPr="005E1CF0">
        <w:rPr>
          <w:rFonts w:ascii="Arial" w:hAnsi="Arial" w:cs="Arial"/>
          <w:sz w:val="24"/>
          <w:szCs w:val="24"/>
          <w:lang w:val="fr-CA"/>
        </w:rPr>
        <w:t xml:space="preserve"> Constitution;</w:t>
      </w:r>
    </w:p>
    <w:p w14:paraId="6F5E8859" w14:textId="77777777" w:rsidR="005E1CF0" w:rsidRPr="005E1CF0" w:rsidRDefault="005E1CF0" w:rsidP="005E1CF0">
      <w:pPr>
        <w:numPr>
          <w:ilvl w:val="0"/>
          <w:numId w:val="138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5E1CF0">
        <w:rPr>
          <w:rFonts w:ascii="Arial" w:hAnsi="Arial" w:cs="Arial"/>
          <w:sz w:val="24"/>
          <w:szCs w:val="24"/>
          <w:lang w:val="fr-CA"/>
        </w:rPr>
        <w:t>organic</w:t>
      </w:r>
      <w:proofErr w:type="spellEnd"/>
      <w:proofErr w:type="gramEnd"/>
      <w:r w:rsidRPr="005E1CF0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laws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>;</w:t>
      </w:r>
    </w:p>
    <w:p w14:paraId="18A1B7CB" w14:textId="77777777" w:rsidR="005E1CF0" w:rsidRPr="005E1CF0" w:rsidRDefault="005E1CF0" w:rsidP="005E1CF0">
      <w:pPr>
        <w:numPr>
          <w:ilvl w:val="0"/>
          <w:numId w:val="138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5E1CF0">
        <w:rPr>
          <w:rFonts w:ascii="Arial" w:hAnsi="Arial" w:cs="Arial"/>
          <w:sz w:val="24"/>
          <w:szCs w:val="24"/>
          <w:lang w:val="fr-CA"/>
        </w:rPr>
        <w:t>ordinary</w:t>
      </w:r>
      <w:proofErr w:type="spellEnd"/>
      <w:proofErr w:type="gramEnd"/>
      <w:r w:rsidRPr="005E1CF0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laws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>;</w:t>
      </w:r>
    </w:p>
    <w:p w14:paraId="0F14AB29" w14:textId="77777777" w:rsidR="005E1CF0" w:rsidRPr="005E1CF0" w:rsidRDefault="005E1CF0" w:rsidP="005E1CF0">
      <w:pPr>
        <w:numPr>
          <w:ilvl w:val="0"/>
          <w:numId w:val="138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5E1CF0">
        <w:rPr>
          <w:rFonts w:ascii="Arial" w:hAnsi="Arial" w:cs="Arial"/>
          <w:sz w:val="24"/>
          <w:szCs w:val="24"/>
          <w:lang w:val="fr-CA"/>
        </w:rPr>
        <w:t>administrative</w:t>
      </w:r>
      <w:proofErr w:type="gramEnd"/>
      <w:r w:rsidRPr="005E1CF0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laws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>.</w:t>
      </w:r>
    </w:p>
    <w:p w14:paraId="26F6F127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5E1CF0">
        <w:rPr>
          <w:rFonts w:ascii="Arial" w:hAnsi="Arial" w:cs="Arial"/>
          <w:b/>
          <w:bCs/>
          <w:sz w:val="24"/>
          <w:szCs w:val="24"/>
          <w:lang w:val="fr-CA"/>
        </w:rPr>
        <w:t xml:space="preserve">Article 28 — </w:t>
      </w:r>
      <w:proofErr w:type="spellStart"/>
      <w:r w:rsidRPr="005E1CF0">
        <w:rPr>
          <w:rFonts w:ascii="Arial" w:hAnsi="Arial" w:cs="Arial"/>
          <w:b/>
          <w:bCs/>
          <w:sz w:val="24"/>
          <w:szCs w:val="24"/>
          <w:lang w:val="fr-CA"/>
        </w:rPr>
        <w:t>Mandatory</w:t>
      </w:r>
      <w:proofErr w:type="spellEnd"/>
      <w:r w:rsidRPr="005E1CF0">
        <w:rPr>
          <w:rFonts w:ascii="Arial" w:hAnsi="Arial" w:cs="Arial"/>
          <w:b/>
          <w:bCs/>
          <w:sz w:val="24"/>
          <w:szCs w:val="24"/>
          <w:lang w:val="fr-CA"/>
        </w:rPr>
        <w:t xml:space="preserve"> Publication</w:t>
      </w:r>
    </w:p>
    <w:p w14:paraId="6A8E33EA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Any transitional normative modification is immediately published and accessible to the public.</w:t>
      </w:r>
    </w:p>
    <w:p w14:paraId="6C6A9489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29 — Right to Transitional Remedy</w:t>
      </w:r>
    </w:p>
    <w:p w14:paraId="4FD147A0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Citizens have effective remedies against any transitional decision affecting their rights.</w:t>
      </w:r>
    </w:p>
    <w:p w14:paraId="2AB5A8B5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30 — Transitional Legal Responsibility</w:t>
      </w:r>
    </w:p>
    <w:p w14:paraId="1615EA98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Transitional decision-makers incur personal responsibility in case of violation of rights or of the Constitution.</w:t>
      </w:r>
    </w:p>
    <w:p w14:paraId="61D57D98" w14:textId="77777777" w:rsidR="005E1CF0" w:rsidRPr="005E1CF0" w:rsidRDefault="005E1CF0" w:rsidP="005E1CF0">
      <w:pPr>
        <w:rPr>
          <w:rFonts w:ascii="Arial" w:hAnsi="Arial" w:cs="Arial"/>
          <w:sz w:val="24"/>
          <w:szCs w:val="24"/>
          <w:lang w:val="fr-CA"/>
        </w:rPr>
      </w:pPr>
      <w:r w:rsidRPr="005E1CF0">
        <w:rPr>
          <w:rFonts w:ascii="Arial" w:hAnsi="Arial" w:cs="Arial"/>
          <w:sz w:val="24"/>
          <w:szCs w:val="24"/>
          <w:lang w:val="fr-CA"/>
        </w:rPr>
        <w:lastRenderedPageBreak/>
        <w:pict w14:anchorId="07BE81B1">
          <v:rect id="_x0000_i1342" style="width:0;height:1.5pt" o:hralign="center" o:hrstd="t" o:hr="t" fillcolor="#a0a0a0" stroked="f"/>
        </w:pict>
      </w:r>
    </w:p>
    <w:p w14:paraId="564008C8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BOOK IV</w:t>
      </w:r>
    </w:p>
    <w:p w14:paraId="719DD551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ECONOMIC, FINANCIAL, AND MONETARY TRANSITION</w:t>
      </w:r>
    </w:p>
    <w:p w14:paraId="4F0D7D82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31 — Principle of Economic Stability</w:t>
      </w:r>
    </w:p>
    <w:p w14:paraId="5394D272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The constitutional transition must guarantee economic stability, protection of citizens’ savings, and continuity of essential exchanges.</w:t>
      </w:r>
    </w:p>
    <w:p w14:paraId="0F5A40AD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No transitional decision may deliberately provoke an economic crisis.</w:t>
      </w:r>
    </w:p>
    <w:p w14:paraId="146FD77C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32 — Continuity of Means of Payment</w:t>
      </w:r>
    </w:p>
    <w:p w14:paraId="21AA7116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Existing means of payment remain valid during the transition.</w:t>
      </w:r>
    </w:p>
    <w:p w14:paraId="22C125F2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Any monetary modification is progressive, publicly announced, and legally protected.</w:t>
      </w:r>
    </w:p>
    <w:p w14:paraId="66D97D4B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33 — Protection of Deposits and Incomes</w:t>
      </w:r>
    </w:p>
    <w:p w14:paraId="40A891EB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Bank deposits, incomes, pensions, and legitimate benefits of citizens are fully protected.</w:t>
      </w:r>
    </w:p>
    <w:p w14:paraId="1DF2BEE3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Any infringement constitutes a serious fault.</w:t>
      </w:r>
    </w:p>
    <w:p w14:paraId="0491CE21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34 — Progressive Establishment of the Public Bank</w:t>
      </w:r>
    </w:p>
    <w:p w14:paraId="689D7C49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The national public bank is progressively established.</w:t>
      </w:r>
    </w:p>
    <w:p w14:paraId="7CB5F47A" w14:textId="77777777" w:rsidR="005E1CF0" w:rsidRPr="005E1CF0" w:rsidRDefault="005E1CF0" w:rsidP="005E1CF0">
      <w:pPr>
        <w:rPr>
          <w:rFonts w:ascii="Arial" w:hAnsi="Arial" w:cs="Arial"/>
          <w:sz w:val="24"/>
          <w:szCs w:val="24"/>
          <w:lang w:val="fr-CA"/>
        </w:rPr>
      </w:pPr>
      <w:r w:rsidRPr="005E1CF0">
        <w:rPr>
          <w:rFonts w:ascii="Arial" w:hAnsi="Arial" w:cs="Arial"/>
          <w:sz w:val="24"/>
          <w:szCs w:val="24"/>
          <w:lang w:val="fr-CA"/>
        </w:rPr>
        <w:t>During the transition:</w:t>
      </w:r>
    </w:p>
    <w:p w14:paraId="6B70E51A" w14:textId="77777777" w:rsidR="005E1CF0" w:rsidRPr="005E1CF0" w:rsidRDefault="005E1CF0" w:rsidP="005E1CF0">
      <w:pPr>
        <w:numPr>
          <w:ilvl w:val="0"/>
          <w:numId w:val="139"/>
        </w:num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 xml:space="preserve">it coexists with existing financial </w:t>
      </w:r>
      <w:proofErr w:type="gramStart"/>
      <w:r w:rsidRPr="005E1CF0">
        <w:rPr>
          <w:rFonts w:ascii="Arial" w:hAnsi="Arial" w:cs="Arial"/>
          <w:sz w:val="24"/>
          <w:szCs w:val="24"/>
        </w:rPr>
        <w:t>institutions;</w:t>
      </w:r>
      <w:proofErr w:type="gramEnd"/>
    </w:p>
    <w:p w14:paraId="65120F27" w14:textId="77777777" w:rsidR="005E1CF0" w:rsidRPr="005E1CF0" w:rsidRDefault="005E1CF0" w:rsidP="005E1CF0">
      <w:pPr>
        <w:numPr>
          <w:ilvl w:val="0"/>
          <w:numId w:val="139"/>
        </w:num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 xml:space="preserve">it gradually assumes currency creation </w:t>
      </w:r>
      <w:proofErr w:type="gramStart"/>
      <w:r w:rsidRPr="005E1CF0">
        <w:rPr>
          <w:rFonts w:ascii="Arial" w:hAnsi="Arial" w:cs="Arial"/>
          <w:sz w:val="24"/>
          <w:szCs w:val="24"/>
        </w:rPr>
        <w:t>functions;</w:t>
      </w:r>
      <w:proofErr w:type="gramEnd"/>
    </w:p>
    <w:p w14:paraId="00DC3CFD" w14:textId="77777777" w:rsidR="005E1CF0" w:rsidRPr="005E1CF0" w:rsidRDefault="005E1CF0" w:rsidP="005E1CF0">
      <w:pPr>
        <w:numPr>
          <w:ilvl w:val="0"/>
          <w:numId w:val="139"/>
        </w:numPr>
        <w:rPr>
          <w:rFonts w:ascii="Arial" w:hAnsi="Arial" w:cs="Arial"/>
          <w:sz w:val="24"/>
          <w:szCs w:val="24"/>
        </w:rPr>
      </w:pPr>
      <w:proofErr w:type="gramStart"/>
      <w:r w:rsidRPr="005E1CF0">
        <w:rPr>
          <w:rFonts w:ascii="Arial" w:hAnsi="Arial" w:cs="Arial"/>
          <w:sz w:val="24"/>
          <w:szCs w:val="24"/>
        </w:rPr>
        <w:t>it</w:t>
      </w:r>
      <w:proofErr w:type="gramEnd"/>
      <w:r w:rsidRPr="005E1CF0">
        <w:rPr>
          <w:rFonts w:ascii="Arial" w:hAnsi="Arial" w:cs="Arial"/>
          <w:sz w:val="24"/>
          <w:szCs w:val="24"/>
        </w:rPr>
        <w:t xml:space="preserve"> guarantees equitable access to essential credit.</w:t>
      </w:r>
    </w:p>
    <w:p w14:paraId="1C1C6604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35 — Strict Regulation of Private Banks</w:t>
      </w:r>
    </w:p>
    <w:p w14:paraId="08827276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During the transition, private banks:</w:t>
      </w:r>
    </w:p>
    <w:p w14:paraId="0F6DD107" w14:textId="77777777" w:rsidR="005E1CF0" w:rsidRPr="005E1CF0" w:rsidRDefault="005E1CF0" w:rsidP="005E1CF0">
      <w:pPr>
        <w:numPr>
          <w:ilvl w:val="0"/>
          <w:numId w:val="140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5E1CF0">
        <w:rPr>
          <w:rFonts w:ascii="Arial" w:hAnsi="Arial" w:cs="Arial"/>
          <w:sz w:val="24"/>
          <w:szCs w:val="24"/>
          <w:lang w:val="fr-CA"/>
        </w:rPr>
        <w:t>may</w:t>
      </w:r>
      <w:proofErr w:type="spellEnd"/>
      <w:proofErr w:type="gramEnd"/>
      <w:r w:rsidRPr="005E1CF0">
        <w:rPr>
          <w:rFonts w:ascii="Arial" w:hAnsi="Arial" w:cs="Arial"/>
          <w:sz w:val="24"/>
          <w:szCs w:val="24"/>
          <w:lang w:val="fr-CA"/>
        </w:rPr>
        <w:t xml:space="preserve"> not </w:t>
      </w: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create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 xml:space="preserve"> money;</w:t>
      </w:r>
    </w:p>
    <w:p w14:paraId="02F8C590" w14:textId="77777777" w:rsidR="005E1CF0" w:rsidRPr="005E1CF0" w:rsidRDefault="005E1CF0" w:rsidP="005E1CF0">
      <w:pPr>
        <w:numPr>
          <w:ilvl w:val="0"/>
          <w:numId w:val="140"/>
        </w:num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may not impose abusive fees;</w:t>
      </w:r>
    </w:p>
    <w:p w14:paraId="1CBFD023" w14:textId="77777777" w:rsidR="005E1CF0" w:rsidRPr="005E1CF0" w:rsidRDefault="005E1CF0" w:rsidP="005E1CF0">
      <w:pPr>
        <w:numPr>
          <w:ilvl w:val="0"/>
          <w:numId w:val="140"/>
        </w:num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are subject to reinforced oversight.</w:t>
      </w:r>
    </w:p>
    <w:p w14:paraId="05A08DFF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36 — Transitional Tax Stability</w:t>
      </w:r>
    </w:p>
    <w:p w14:paraId="7B74361A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Taxation is stabilized during the transition.</w:t>
      </w:r>
    </w:p>
    <w:p w14:paraId="344C906D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No abrupt increase in the overall tax burden may be imposed.</w:t>
      </w:r>
    </w:p>
    <w:p w14:paraId="784D62F6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37 — Transitional Fight Against Tax Evasion</w:t>
      </w:r>
    </w:p>
    <w:p w14:paraId="4BDA6E81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Mechanisms to combat tax evasion and avoidance are immediately reinforced.</w:t>
      </w:r>
    </w:p>
    <w:p w14:paraId="15CE1D83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Tax havens are prohibited.</w:t>
      </w:r>
    </w:p>
    <w:p w14:paraId="1F4EEB7B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lastRenderedPageBreak/>
        <w:t>Article 38 — Continuity of Commercial Exchanges</w:t>
      </w:r>
    </w:p>
    <w:p w14:paraId="31AC8CB3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Essential commercial exchanges are maintained.</w:t>
      </w:r>
    </w:p>
    <w:p w14:paraId="439E7FA6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Any voluntary disruption of vital supply chains is prohibited.</w:t>
      </w:r>
    </w:p>
    <w:p w14:paraId="3293EE3A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39 — Protection Against Transitional Speculation</w:t>
      </w:r>
    </w:p>
    <w:p w14:paraId="702708A0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Any speculation aimed at exploiting the transition is prohibited and immediately sanctioned.</w:t>
      </w:r>
    </w:p>
    <w:p w14:paraId="2482CEFF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40 — Economic Transparency</w:t>
      </w:r>
    </w:p>
    <w:p w14:paraId="494BE3A1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All transitional economic decisions are made public and justified.</w:t>
      </w:r>
    </w:p>
    <w:p w14:paraId="22729C2A" w14:textId="76D269E2" w:rsidR="004D3642" w:rsidRDefault="005E1CF0" w:rsidP="004D3642">
      <w:pPr>
        <w:rPr>
          <w:rFonts w:ascii="Arial" w:hAnsi="Arial" w:cs="Arial"/>
          <w:sz w:val="24"/>
          <w:szCs w:val="24"/>
          <w:lang w:val="fr-CA"/>
        </w:rPr>
      </w:pPr>
      <w:r w:rsidRPr="005E1CF0">
        <w:rPr>
          <w:rFonts w:ascii="Arial" w:hAnsi="Arial" w:cs="Arial"/>
          <w:sz w:val="24"/>
          <w:szCs w:val="24"/>
          <w:lang w:val="fr-CA"/>
        </w:rPr>
        <w:pict w14:anchorId="4804AFA0">
          <v:rect id="_x0000_i1344" style="width:0;height:1.5pt" o:hralign="center" o:hrstd="t" o:hr="t" fillcolor="#a0a0a0" stroked="f"/>
        </w:pict>
      </w:r>
    </w:p>
    <w:p w14:paraId="0A9113B9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BOOK V</w:t>
      </w:r>
    </w:p>
    <w:p w14:paraId="7AAE63CA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SECURITY, PROTECTION OF THE PEOPLE, AND HOSTILE THREATS</w:t>
      </w:r>
    </w:p>
    <w:p w14:paraId="0F373672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41 — Priority of Civil Protection</w:t>
      </w:r>
    </w:p>
    <w:p w14:paraId="543062D8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During the transition, the absolute priority of the State is the protection of the population, public order, and essential infrastructures.</w:t>
      </w:r>
    </w:p>
    <w:p w14:paraId="5F4CD17B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Security forces act exclusively for defensive and protective purposes.</w:t>
      </w:r>
    </w:p>
    <w:p w14:paraId="210D53CC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42 — Prohibition of Internal Repression</w:t>
      </w:r>
    </w:p>
    <w:p w14:paraId="1754731B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The transition may not be used to establish internal repression, political persecution, or suppression of legitimate dissent.</w:t>
      </w:r>
    </w:p>
    <w:p w14:paraId="1DD09CEA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Freedom of expression and peaceful assembly remain fully guaranteed.</w:t>
      </w:r>
    </w:p>
    <w:p w14:paraId="67208922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43 — Protection Against Hostile Interference</w:t>
      </w:r>
    </w:p>
    <w:p w14:paraId="6639CC2B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Any hostile action aimed at destabilizing the transition, including:</w:t>
      </w:r>
    </w:p>
    <w:p w14:paraId="525A8043" w14:textId="77777777" w:rsidR="005E1CF0" w:rsidRPr="005E1CF0" w:rsidRDefault="005E1CF0" w:rsidP="005E1CF0">
      <w:pPr>
        <w:numPr>
          <w:ilvl w:val="0"/>
          <w:numId w:val="141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foreign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interference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>;</w:t>
      </w:r>
    </w:p>
    <w:p w14:paraId="74F760BB" w14:textId="77777777" w:rsidR="005E1CF0" w:rsidRPr="005E1CF0" w:rsidRDefault="005E1CF0" w:rsidP="005E1CF0">
      <w:pPr>
        <w:numPr>
          <w:ilvl w:val="0"/>
          <w:numId w:val="141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economic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 xml:space="preserve"> sabotage;</w:t>
      </w:r>
    </w:p>
    <w:p w14:paraId="5146D055" w14:textId="77777777" w:rsidR="005E1CF0" w:rsidRPr="005E1CF0" w:rsidRDefault="005E1CF0" w:rsidP="005E1CF0">
      <w:pPr>
        <w:numPr>
          <w:ilvl w:val="0"/>
          <w:numId w:val="141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cyberattacks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>;</w:t>
      </w:r>
    </w:p>
    <w:p w14:paraId="24B32406" w14:textId="77777777" w:rsidR="005E1CF0" w:rsidRPr="005E1CF0" w:rsidRDefault="005E1CF0" w:rsidP="005E1CF0">
      <w:pPr>
        <w:numPr>
          <w:ilvl w:val="0"/>
          <w:numId w:val="141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disinformation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campaigns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>;</w:t>
      </w:r>
    </w:p>
    <w:p w14:paraId="0779B72D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is considered a serious threat to constitutional order.</w:t>
      </w:r>
    </w:p>
    <w:p w14:paraId="6374E747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44 — Defensive Security Measures</w:t>
      </w:r>
    </w:p>
    <w:p w14:paraId="16D975E6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Security measures may be adopted only:</w:t>
      </w:r>
    </w:p>
    <w:p w14:paraId="2F8CA9A2" w14:textId="77777777" w:rsidR="005E1CF0" w:rsidRPr="005E1CF0" w:rsidRDefault="005E1CF0" w:rsidP="005E1CF0">
      <w:pPr>
        <w:numPr>
          <w:ilvl w:val="0"/>
          <w:numId w:val="142"/>
        </w:numPr>
        <w:rPr>
          <w:rFonts w:ascii="Arial" w:hAnsi="Arial" w:cs="Arial"/>
          <w:sz w:val="24"/>
          <w:szCs w:val="24"/>
          <w:lang w:val="fr-CA"/>
        </w:rPr>
      </w:pPr>
      <w:r w:rsidRPr="005E1CF0">
        <w:rPr>
          <w:rFonts w:ascii="Arial" w:hAnsi="Arial" w:cs="Arial"/>
          <w:sz w:val="24"/>
          <w:szCs w:val="24"/>
          <w:lang w:val="fr-CA"/>
        </w:rPr>
        <w:t xml:space="preserve">on a </w:t>
      </w: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defensive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 xml:space="preserve"> basis;</w:t>
      </w:r>
    </w:p>
    <w:p w14:paraId="425484B7" w14:textId="77777777" w:rsidR="005E1CF0" w:rsidRPr="005E1CF0" w:rsidRDefault="005E1CF0" w:rsidP="005E1CF0">
      <w:pPr>
        <w:numPr>
          <w:ilvl w:val="0"/>
          <w:numId w:val="142"/>
        </w:numPr>
        <w:rPr>
          <w:rFonts w:ascii="Arial" w:hAnsi="Arial" w:cs="Arial"/>
          <w:sz w:val="24"/>
          <w:szCs w:val="24"/>
          <w:lang w:val="fr-CA"/>
        </w:rPr>
      </w:pPr>
      <w:r w:rsidRPr="005E1CF0">
        <w:rPr>
          <w:rFonts w:ascii="Arial" w:hAnsi="Arial" w:cs="Arial"/>
          <w:sz w:val="24"/>
          <w:szCs w:val="24"/>
          <w:lang w:val="fr-CA"/>
        </w:rPr>
        <w:t xml:space="preserve">for </w:t>
      </w: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strictly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limited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 xml:space="preserve"> duration;</w:t>
      </w:r>
    </w:p>
    <w:p w14:paraId="3F744AA7" w14:textId="77777777" w:rsidR="005E1CF0" w:rsidRPr="005E1CF0" w:rsidRDefault="005E1CF0" w:rsidP="005E1CF0">
      <w:pPr>
        <w:numPr>
          <w:ilvl w:val="0"/>
          <w:numId w:val="142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under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judicial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oversight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>;</w:t>
      </w:r>
    </w:p>
    <w:p w14:paraId="6B60D144" w14:textId="77777777" w:rsidR="005E1CF0" w:rsidRPr="005E1CF0" w:rsidRDefault="005E1CF0" w:rsidP="005E1CF0">
      <w:pPr>
        <w:numPr>
          <w:ilvl w:val="0"/>
          <w:numId w:val="142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lastRenderedPageBreak/>
        <w:t>with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 xml:space="preserve"> full </w:t>
      </w: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traceability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>.</w:t>
      </w:r>
    </w:p>
    <w:p w14:paraId="7C490D6B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5E1CF0">
        <w:rPr>
          <w:rFonts w:ascii="Arial" w:hAnsi="Arial" w:cs="Arial"/>
          <w:b/>
          <w:bCs/>
          <w:sz w:val="24"/>
          <w:szCs w:val="24"/>
          <w:lang w:val="fr-CA"/>
        </w:rPr>
        <w:t>Article 45 — Protection of Critical Infrastructures</w:t>
      </w:r>
    </w:p>
    <w:p w14:paraId="1994BB7B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Critical infrastructures (energy, water, healthcare, communications, finance) benefit from enhanced protection and contingency planning.</w:t>
      </w:r>
    </w:p>
    <w:p w14:paraId="79E93007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46 — Prohibition of Armed Political Groups</w:t>
      </w:r>
    </w:p>
    <w:p w14:paraId="01E46E4A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No armed group, militia, or paramilitary organization may exist or operate during the transition.</w:t>
      </w:r>
    </w:p>
    <w:p w14:paraId="3367B62B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Only constitutionally authorized security forces are permitted.</w:t>
      </w:r>
    </w:p>
    <w:p w14:paraId="2CC46CB0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47 — Civilian Control of Security Forces</w:t>
      </w:r>
    </w:p>
    <w:p w14:paraId="068A56FC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Security forces remain under strict civilian authority and democratic oversight.</w:t>
      </w:r>
    </w:p>
    <w:p w14:paraId="0437BA1F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Any autonomous security structure is prohibited.</w:t>
      </w:r>
    </w:p>
    <w:p w14:paraId="68EBF00E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48 — Protection of Territorial Integrity</w:t>
      </w:r>
    </w:p>
    <w:p w14:paraId="3E653D26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The integrity of the territory is protected against any attempt of fragmentation, occupation, or coercion.</w:t>
      </w:r>
    </w:p>
    <w:p w14:paraId="4CE7C281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49 — Responsibility for Security Abuses</w:t>
      </w:r>
    </w:p>
    <w:p w14:paraId="721DB7AF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Any abuse of security powers engages the personal criminal and civil responsibility of its authors.</w:t>
      </w:r>
    </w:p>
    <w:p w14:paraId="791CB932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Victims are entitled to full reparation.</w:t>
      </w:r>
    </w:p>
    <w:p w14:paraId="5DF9A07C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50 — Transparency of Security Actions</w:t>
      </w:r>
    </w:p>
    <w:p w14:paraId="4C8E8F7C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Security actions are subject to transparency requirements, except for strictly operational necessities.</w:t>
      </w:r>
    </w:p>
    <w:p w14:paraId="14236B1B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Post-action audits are mandatory.</w:t>
      </w:r>
    </w:p>
    <w:p w14:paraId="2DD0A33B" w14:textId="77777777" w:rsidR="005E1CF0" w:rsidRPr="005E1CF0" w:rsidRDefault="005E1CF0" w:rsidP="005E1CF0">
      <w:pPr>
        <w:rPr>
          <w:rFonts w:ascii="Arial" w:hAnsi="Arial" w:cs="Arial"/>
          <w:sz w:val="24"/>
          <w:szCs w:val="24"/>
          <w:lang w:val="fr-CA"/>
        </w:rPr>
      </w:pPr>
      <w:r w:rsidRPr="005E1CF0">
        <w:rPr>
          <w:rFonts w:ascii="Arial" w:hAnsi="Arial" w:cs="Arial"/>
          <w:sz w:val="24"/>
          <w:szCs w:val="24"/>
          <w:lang w:val="fr-CA"/>
        </w:rPr>
        <w:pict w14:anchorId="32588FCA">
          <v:rect id="_x0000_i1351" style="width:0;height:1.5pt" o:hralign="center" o:hrstd="t" o:hr="t" fillcolor="#a0a0a0" stroked="f"/>
        </w:pict>
      </w:r>
    </w:p>
    <w:p w14:paraId="3812DFA8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BOOK VI</w:t>
      </w:r>
    </w:p>
    <w:p w14:paraId="471B05F9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CITIZEN PARTICIPATION, LEGITIMACY, AND END OF TRANSITION</w:t>
      </w:r>
    </w:p>
    <w:p w14:paraId="72C10868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51 — Continuous Citizen Legitimacy</w:t>
      </w:r>
    </w:p>
    <w:p w14:paraId="726C6DA5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The legitimacy of the transition derives permanently from the people.</w:t>
      </w:r>
    </w:p>
    <w:p w14:paraId="44B75A7D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Any major transitional decision must be submitted to public consultation or referendum.</w:t>
      </w:r>
    </w:p>
    <w:p w14:paraId="49173784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52 — Public Information</w:t>
      </w:r>
    </w:p>
    <w:p w14:paraId="1AB98F15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Citizens are continuously informed of:</w:t>
      </w:r>
    </w:p>
    <w:p w14:paraId="5BB2E115" w14:textId="77777777" w:rsidR="005E1CF0" w:rsidRPr="005E1CF0" w:rsidRDefault="005E1CF0" w:rsidP="005E1CF0">
      <w:pPr>
        <w:numPr>
          <w:ilvl w:val="0"/>
          <w:numId w:val="143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progress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 xml:space="preserve"> of the transition;</w:t>
      </w:r>
    </w:p>
    <w:p w14:paraId="7871D544" w14:textId="77777777" w:rsidR="005E1CF0" w:rsidRPr="005E1CF0" w:rsidRDefault="005E1CF0" w:rsidP="005E1CF0">
      <w:pPr>
        <w:numPr>
          <w:ilvl w:val="0"/>
          <w:numId w:val="143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institutional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 xml:space="preserve"> changes;</w:t>
      </w:r>
    </w:p>
    <w:p w14:paraId="420F8E75" w14:textId="77777777" w:rsidR="005E1CF0" w:rsidRPr="005E1CF0" w:rsidRDefault="005E1CF0" w:rsidP="005E1CF0">
      <w:pPr>
        <w:numPr>
          <w:ilvl w:val="0"/>
          <w:numId w:val="143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economic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measures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>;</w:t>
      </w:r>
    </w:p>
    <w:p w14:paraId="69D908FA" w14:textId="77777777" w:rsidR="005E1CF0" w:rsidRPr="005E1CF0" w:rsidRDefault="005E1CF0" w:rsidP="005E1CF0">
      <w:pPr>
        <w:numPr>
          <w:ilvl w:val="0"/>
          <w:numId w:val="143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legal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 xml:space="preserve"> transformations.</w:t>
      </w:r>
    </w:p>
    <w:p w14:paraId="463A3CEE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5E1CF0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Article 53 — Citizen Monitoring Bodies</w:t>
      </w:r>
    </w:p>
    <w:p w14:paraId="434055B2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Independent citizen monitoring bodies are established to oversee:</w:t>
      </w:r>
    </w:p>
    <w:p w14:paraId="16246256" w14:textId="77777777" w:rsidR="005E1CF0" w:rsidRPr="005E1CF0" w:rsidRDefault="005E1CF0" w:rsidP="005E1CF0">
      <w:pPr>
        <w:numPr>
          <w:ilvl w:val="0"/>
          <w:numId w:val="144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transitional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authorities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>;</w:t>
      </w:r>
    </w:p>
    <w:p w14:paraId="0CDD3A76" w14:textId="77777777" w:rsidR="005E1CF0" w:rsidRPr="005E1CF0" w:rsidRDefault="005E1CF0" w:rsidP="005E1CF0">
      <w:pPr>
        <w:numPr>
          <w:ilvl w:val="0"/>
          <w:numId w:val="144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institutional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reforms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>;</w:t>
      </w:r>
    </w:p>
    <w:p w14:paraId="1E1883B5" w14:textId="77777777" w:rsidR="005E1CF0" w:rsidRPr="005E1CF0" w:rsidRDefault="005E1CF0" w:rsidP="005E1CF0">
      <w:pPr>
        <w:numPr>
          <w:ilvl w:val="0"/>
          <w:numId w:val="144"/>
        </w:numPr>
        <w:rPr>
          <w:rFonts w:ascii="Arial" w:hAnsi="Arial" w:cs="Arial"/>
          <w:sz w:val="24"/>
          <w:szCs w:val="24"/>
          <w:lang w:val="fr-CA"/>
        </w:rPr>
      </w:pPr>
      <w:r w:rsidRPr="005E1CF0">
        <w:rPr>
          <w:rFonts w:ascii="Arial" w:hAnsi="Arial" w:cs="Arial"/>
          <w:sz w:val="24"/>
          <w:szCs w:val="24"/>
          <w:lang w:val="fr-CA"/>
        </w:rPr>
        <w:t xml:space="preserve">protection of </w:t>
      </w: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rights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>.</w:t>
      </w:r>
    </w:p>
    <w:p w14:paraId="2D816B21" w14:textId="77777777" w:rsidR="005E1CF0" w:rsidRPr="005E1CF0" w:rsidRDefault="005E1CF0" w:rsidP="005E1CF0">
      <w:pPr>
        <w:rPr>
          <w:rFonts w:ascii="Arial" w:hAnsi="Arial" w:cs="Arial"/>
          <w:sz w:val="24"/>
          <w:szCs w:val="24"/>
          <w:lang w:val="fr-CA"/>
        </w:rPr>
      </w:pP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Their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 xml:space="preserve"> reports are public.</w:t>
      </w:r>
    </w:p>
    <w:p w14:paraId="58F7A98D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5E1CF0">
        <w:rPr>
          <w:rFonts w:ascii="Arial" w:hAnsi="Arial" w:cs="Arial"/>
          <w:b/>
          <w:bCs/>
          <w:sz w:val="24"/>
          <w:szCs w:val="24"/>
          <w:lang w:val="fr-CA"/>
        </w:rPr>
        <w:t xml:space="preserve">Article 54 — Right to </w:t>
      </w:r>
      <w:proofErr w:type="spellStart"/>
      <w:r w:rsidRPr="005E1CF0">
        <w:rPr>
          <w:rFonts w:ascii="Arial" w:hAnsi="Arial" w:cs="Arial"/>
          <w:b/>
          <w:bCs/>
          <w:sz w:val="24"/>
          <w:szCs w:val="24"/>
          <w:lang w:val="fr-CA"/>
        </w:rPr>
        <w:t>Petition</w:t>
      </w:r>
      <w:proofErr w:type="spellEnd"/>
    </w:p>
    <w:p w14:paraId="30307AE3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Citizens have the right to submit binding petitions concerning the transition.</w:t>
      </w:r>
    </w:p>
    <w:p w14:paraId="4EE7292F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Procedures are simple and accessible.</w:t>
      </w:r>
    </w:p>
    <w:p w14:paraId="1523DE4C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55 — Popular Review of the Transition</w:t>
      </w:r>
    </w:p>
    <w:p w14:paraId="1C13C481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At the end of the transition, a popular review referendum is organized to:</w:t>
      </w:r>
    </w:p>
    <w:p w14:paraId="3D6659DC" w14:textId="77777777" w:rsidR="005E1CF0" w:rsidRPr="005E1CF0" w:rsidRDefault="005E1CF0" w:rsidP="005E1CF0">
      <w:pPr>
        <w:numPr>
          <w:ilvl w:val="0"/>
          <w:numId w:val="145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validate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institutional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implementation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>;</w:t>
      </w:r>
    </w:p>
    <w:p w14:paraId="1A923453" w14:textId="77777777" w:rsidR="005E1CF0" w:rsidRPr="005E1CF0" w:rsidRDefault="005E1CF0" w:rsidP="005E1CF0">
      <w:pPr>
        <w:numPr>
          <w:ilvl w:val="0"/>
          <w:numId w:val="145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confirm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constitutional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 xml:space="preserve"> application;</w:t>
      </w:r>
    </w:p>
    <w:p w14:paraId="75EE211A" w14:textId="77777777" w:rsidR="005E1CF0" w:rsidRPr="005E1CF0" w:rsidRDefault="005E1CF0" w:rsidP="005E1CF0">
      <w:pPr>
        <w:numPr>
          <w:ilvl w:val="0"/>
          <w:numId w:val="145"/>
        </w:numPr>
        <w:rPr>
          <w:rFonts w:ascii="Arial" w:hAnsi="Arial" w:cs="Arial"/>
          <w:sz w:val="24"/>
          <w:szCs w:val="24"/>
          <w:lang w:val="fr-CA"/>
        </w:rPr>
      </w:pPr>
      <w:r w:rsidRPr="005E1CF0">
        <w:rPr>
          <w:rFonts w:ascii="Arial" w:hAnsi="Arial" w:cs="Arial"/>
          <w:sz w:val="24"/>
          <w:szCs w:val="24"/>
          <w:lang w:val="fr-CA"/>
        </w:rPr>
        <w:t xml:space="preserve">dissolve </w:t>
      </w:r>
      <w:proofErr w:type="spellStart"/>
      <w:r w:rsidRPr="005E1CF0">
        <w:rPr>
          <w:rFonts w:ascii="Arial" w:hAnsi="Arial" w:cs="Arial"/>
          <w:sz w:val="24"/>
          <w:szCs w:val="24"/>
          <w:lang w:val="fr-CA"/>
        </w:rPr>
        <w:t>transitional</w:t>
      </w:r>
      <w:proofErr w:type="spellEnd"/>
      <w:r w:rsidRPr="005E1CF0">
        <w:rPr>
          <w:rFonts w:ascii="Arial" w:hAnsi="Arial" w:cs="Arial"/>
          <w:sz w:val="24"/>
          <w:szCs w:val="24"/>
          <w:lang w:val="fr-CA"/>
        </w:rPr>
        <w:t xml:space="preserve"> bodies.</w:t>
      </w:r>
    </w:p>
    <w:p w14:paraId="4B78D130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5E1CF0">
        <w:rPr>
          <w:rFonts w:ascii="Arial" w:hAnsi="Arial" w:cs="Arial"/>
          <w:b/>
          <w:bCs/>
          <w:sz w:val="24"/>
          <w:szCs w:val="24"/>
          <w:lang w:val="fr-CA"/>
        </w:rPr>
        <w:t xml:space="preserve">Article 56 — </w:t>
      </w:r>
      <w:proofErr w:type="spellStart"/>
      <w:r w:rsidRPr="005E1CF0">
        <w:rPr>
          <w:rFonts w:ascii="Arial" w:hAnsi="Arial" w:cs="Arial"/>
          <w:b/>
          <w:bCs/>
          <w:sz w:val="24"/>
          <w:szCs w:val="24"/>
          <w:lang w:val="fr-CA"/>
        </w:rPr>
        <w:t>Automatic</w:t>
      </w:r>
      <w:proofErr w:type="spellEnd"/>
      <w:r w:rsidRPr="005E1CF0">
        <w:rPr>
          <w:rFonts w:ascii="Arial" w:hAnsi="Arial" w:cs="Arial"/>
          <w:b/>
          <w:bCs/>
          <w:sz w:val="24"/>
          <w:szCs w:val="24"/>
          <w:lang w:val="fr-CA"/>
        </w:rPr>
        <w:t xml:space="preserve"> End of Transition</w:t>
      </w:r>
    </w:p>
    <w:p w14:paraId="74FE0A42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The transition ends automatically upon validation of the popular review.</w:t>
      </w:r>
    </w:p>
    <w:p w14:paraId="50DC6E6D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All transitional authorities are dissolved by operation of law.</w:t>
      </w:r>
    </w:p>
    <w:p w14:paraId="33852D88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57 — Entry into Full Constitutional Regime</w:t>
      </w:r>
    </w:p>
    <w:p w14:paraId="17307D65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Upon the end of the transition, the definitive constitutional institutions exercise full and exclusive authority.</w:t>
      </w:r>
    </w:p>
    <w:p w14:paraId="3A474E01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58 — Nullity of Transitional Norms</w:t>
      </w:r>
    </w:p>
    <w:p w14:paraId="5C884CAF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All transitional norms lapse upon the end of the transition, except those expressly integrated into organic or ordinary law.</w:t>
      </w:r>
    </w:p>
    <w:p w14:paraId="73F2CAFC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59 — Responsibility of Transitional Authorities</w:t>
      </w:r>
    </w:p>
    <w:p w14:paraId="44621796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Any transitional authority failing to organize its own dissolution incurs personal responsibility.</w:t>
      </w:r>
    </w:p>
    <w:p w14:paraId="022FC105" w14:textId="77777777" w:rsidR="005E1CF0" w:rsidRPr="005E1CF0" w:rsidRDefault="005E1CF0" w:rsidP="005E1CF0">
      <w:pPr>
        <w:rPr>
          <w:rFonts w:ascii="Arial" w:hAnsi="Arial" w:cs="Arial"/>
          <w:b/>
          <w:bCs/>
          <w:sz w:val="24"/>
          <w:szCs w:val="24"/>
        </w:rPr>
      </w:pPr>
      <w:r w:rsidRPr="005E1CF0">
        <w:rPr>
          <w:rFonts w:ascii="Arial" w:hAnsi="Arial" w:cs="Arial"/>
          <w:b/>
          <w:bCs/>
          <w:sz w:val="24"/>
          <w:szCs w:val="24"/>
        </w:rPr>
        <w:t>Article 60 — Final Guarantee</w:t>
      </w:r>
    </w:p>
    <w:p w14:paraId="7D0C8307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No transitional mechanism may survive the transition.</w:t>
      </w:r>
    </w:p>
    <w:p w14:paraId="640B95CF" w14:textId="77777777" w:rsidR="005E1CF0" w:rsidRPr="005E1CF0" w:rsidRDefault="005E1CF0" w:rsidP="005E1CF0">
      <w:pPr>
        <w:rPr>
          <w:rFonts w:ascii="Arial" w:hAnsi="Arial" w:cs="Arial"/>
          <w:sz w:val="24"/>
          <w:szCs w:val="24"/>
        </w:rPr>
      </w:pPr>
      <w:r w:rsidRPr="005E1CF0">
        <w:rPr>
          <w:rFonts w:ascii="Arial" w:hAnsi="Arial" w:cs="Arial"/>
          <w:sz w:val="24"/>
          <w:szCs w:val="24"/>
        </w:rPr>
        <w:t>Sovereignty belongs exclusively to the people.</w:t>
      </w:r>
    </w:p>
    <w:p w14:paraId="690EE19E" w14:textId="77777777" w:rsidR="005E1CF0" w:rsidRPr="004D3642" w:rsidRDefault="005E1CF0" w:rsidP="004D3642">
      <w:pPr>
        <w:rPr>
          <w:rFonts w:ascii="Arial" w:hAnsi="Arial" w:cs="Arial"/>
          <w:sz w:val="24"/>
          <w:szCs w:val="24"/>
        </w:rPr>
      </w:pPr>
    </w:p>
    <w:sectPr w:rsidR="005E1CF0" w:rsidRPr="004D3642" w:rsidSect="004D3642">
      <w:pgSz w:w="12240" w:h="15840"/>
      <w:pgMar w:top="238" w:right="244" w:bottom="244" w:left="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B0FA0"/>
    <w:multiLevelType w:val="multilevel"/>
    <w:tmpl w:val="3F36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5562A"/>
    <w:multiLevelType w:val="multilevel"/>
    <w:tmpl w:val="C69A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47423B"/>
    <w:multiLevelType w:val="multilevel"/>
    <w:tmpl w:val="3A6E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E780F"/>
    <w:multiLevelType w:val="multilevel"/>
    <w:tmpl w:val="70AE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03DA5"/>
    <w:multiLevelType w:val="multilevel"/>
    <w:tmpl w:val="4C34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2228FA"/>
    <w:multiLevelType w:val="multilevel"/>
    <w:tmpl w:val="77AA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1756C8"/>
    <w:multiLevelType w:val="multilevel"/>
    <w:tmpl w:val="109A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F47798"/>
    <w:multiLevelType w:val="multilevel"/>
    <w:tmpl w:val="83A6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FA225F"/>
    <w:multiLevelType w:val="multilevel"/>
    <w:tmpl w:val="A42E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3B52B0"/>
    <w:multiLevelType w:val="multilevel"/>
    <w:tmpl w:val="064A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925B93"/>
    <w:multiLevelType w:val="multilevel"/>
    <w:tmpl w:val="D8EA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9E4E33"/>
    <w:multiLevelType w:val="multilevel"/>
    <w:tmpl w:val="7D08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E4433B"/>
    <w:multiLevelType w:val="multilevel"/>
    <w:tmpl w:val="BC08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174D87"/>
    <w:multiLevelType w:val="multilevel"/>
    <w:tmpl w:val="0AD6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E65511"/>
    <w:multiLevelType w:val="multilevel"/>
    <w:tmpl w:val="89D0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06153D"/>
    <w:multiLevelType w:val="multilevel"/>
    <w:tmpl w:val="E26E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D63073"/>
    <w:multiLevelType w:val="multilevel"/>
    <w:tmpl w:val="C440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AA397A"/>
    <w:multiLevelType w:val="multilevel"/>
    <w:tmpl w:val="943E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926A7D"/>
    <w:multiLevelType w:val="multilevel"/>
    <w:tmpl w:val="1C3A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FB1F17"/>
    <w:multiLevelType w:val="multilevel"/>
    <w:tmpl w:val="B672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5C4025"/>
    <w:multiLevelType w:val="multilevel"/>
    <w:tmpl w:val="097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7C10CC"/>
    <w:multiLevelType w:val="multilevel"/>
    <w:tmpl w:val="0A6E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982F17"/>
    <w:multiLevelType w:val="multilevel"/>
    <w:tmpl w:val="5E28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0A3D05"/>
    <w:multiLevelType w:val="multilevel"/>
    <w:tmpl w:val="468A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5E5C24"/>
    <w:multiLevelType w:val="multilevel"/>
    <w:tmpl w:val="16C4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C12D07"/>
    <w:multiLevelType w:val="multilevel"/>
    <w:tmpl w:val="330E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3B6094"/>
    <w:multiLevelType w:val="multilevel"/>
    <w:tmpl w:val="CDFC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40481B"/>
    <w:multiLevelType w:val="multilevel"/>
    <w:tmpl w:val="D8D4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631FEB"/>
    <w:multiLevelType w:val="multilevel"/>
    <w:tmpl w:val="4A84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B54C09"/>
    <w:multiLevelType w:val="multilevel"/>
    <w:tmpl w:val="612A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523147"/>
    <w:multiLevelType w:val="multilevel"/>
    <w:tmpl w:val="3598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BB56D7"/>
    <w:multiLevelType w:val="multilevel"/>
    <w:tmpl w:val="6CC4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D964E8"/>
    <w:multiLevelType w:val="multilevel"/>
    <w:tmpl w:val="C2A0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3A7452"/>
    <w:multiLevelType w:val="multilevel"/>
    <w:tmpl w:val="73A8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293182"/>
    <w:multiLevelType w:val="multilevel"/>
    <w:tmpl w:val="EFAA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A318D0"/>
    <w:multiLevelType w:val="multilevel"/>
    <w:tmpl w:val="401E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7221DF"/>
    <w:multiLevelType w:val="multilevel"/>
    <w:tmpl w:val="37FE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F82FB5"/>
    <w:multiLevelType w:val="multilevel"/>
    <w:tmpl w:val="F3BC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8B2FB0"/>
    <w:multiLevelType w:val="multilevel"/>
    <w:tmpl w:val="6CC6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F33865"/>
    <w:multiLevelType w:val="multilevel"/>
    <w:tmpl w:val="99DE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F34245"/>
    <w:multiLevelType w:val="multilevel"/>
    <w:tmpl w:val="098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E86FB4"/>
    <w:multiLevelType w:val="multilevel"/>
    <w:tmpl w:val="4A46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9F7987"/>
    <w:multiLevelType w:val="multilevel"/>
    <w:tmpl w:val="2200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246987"/>
    <w:multiLevelType w:val="multilevel"/>
    <w:tmpl w:val="504A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6470F5"/>
    <w:multiLevelType w:val="multilevel"/>
    <w:tmpl w:val="495A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842E90"/>
    <w:multiLevelType w:val="multilevel"/>
    <w:tmpl w:val="0724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E7390F"/>
    <w:multiLevelType w:val="multilevel"/>
    <w:tmpl w:val="71DA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FB3200"/>
    <w:multiLevelType w:val="multilevel"/>
    <w:tmpl w:val="E8F2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260EC7"/>
    <w:multiLevelType w:val="multilevel"/>
    <w:tmpl w:val="4DF6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884F29"/>
    <w:multiLevelType w:val="multilevel"/>
    <w:tmpl w:val="4D7A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981C82"/>
    <w:multiLevelType w:val="multilevel"/>
    <w:tmpl w:val="C93ED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3C83ADB"/>
    <w:multiLevelType w:val="multilevel"/>
    <w:tmpl w:val="275C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D23AEE"/>
    <w:multiLevelType w:val="multilevel"/>
    <w:tmpl w:val="14D6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DC0C7C"/>
    <w:multiLevelType w:val="multilevel"/>
    <w:tmpl w:val="3CC2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646F10"/>
    <w:multiLevelType w:val="multilevel"/>
    <w:tmpl w:val="0624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4774A2"/>
    <w:multiLevelType w:val="multilevel"/>
    <w:tmpl w:val="9A68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517744"/>
    <w:multiLevelType w:val="multilevel"/>
    <w:tmpl w:val="66B6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564EB7"/>
    <w:multiLevelType w:val="multilevel"/>
    <w:tmpl w:val="0840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1C70CD"/>
    <w:multiLevelType w:val="multilevel"/>
    <w:tmpl w:val="936C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8723482"/>
    <w:multiLevelType w:val="multilevel"/>
    <w:tmpl w:val="2056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8F533B"/>
    <w:multiLevelType w:val="multilevel"/>
    <w:tmpl w:val="74DE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686133"/>
    <w:multiLevelType w:val="multilevel"/>
    <w:tmpl w:val="3B1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8A070E"/>
    <w:multiLevelType w:val="multilevel"/>
    <w:tmpl w:val="C5EC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823367"/>
    <w:multiLevelType w:val="multilevel"/>
    <w:tmpl w:val="7118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D646FF"/>
    <w:multiLevelType w:val="multilevel"/>
    <w:tmpl w:val="CC9C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1E11FB"/>
    <w:multiLevelType w:val="multilevel"/>
    <w:tmpl w:val="FE5C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523EBF"/>
    <w:multiLevelType w:val="multilevel"/>
    <w:tmpl w:val="E820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DD7711"/>
    <w:multiLevelType w:val="multilevel"/>
    <w:tmpl w:val="2836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101FED"/>
    <w:multiLevelType w:val="multilevel"/>
    <w:tmpl w:val="1486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014233"/>
    <w:multiLevelType w:val="multilevel"/>
    <w:tmpl w:val="9C32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232237"/>
    <w:multiLevelType w:val="multilevel"/>
    <w:tmpl w:val="8ABA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A943A6"/>
    <w:multiLevelType w:val="multilevel"/>
    <w:tmpl w:val="E764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C424E2"/>
    <w:multiLevelType w:val="multilevel"/>
    <w:tmpl w:val="5E8A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265DF4"/>
    <w:multiLevelType w:val="multilevel"/>
    <w:tmpl w:val="6C38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834FAD"/>
    <w:multiLevelType w:val="multilevel"/>
    <w:tmpl w:val="A616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916E83"/>
    <w:multiLevelType w:val="multilevel"/>
    <w:tmpl w:val="CDA2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731383"/>
    <w:multiLevelType w:val="multilevel"/>
    <w:tmpl w:val="7240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276BB7"/>
    <w:multiLevelType w:val="multilevel"/>
    <w:tmpl w:val="28AA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BB3C18"/>
    <w:multiLevelType w:val="multilevel"/>
    <w:tmpl w:val="6946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0F4750"/>
    <w:multiLevelType w:val="multilevel"/>
    <w:tmpl w:val="3144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B05597"/>
    <w:multiLevelType w:val="multilevel"/>
    <w:tmpl w:val="A21C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407801"/>
    <w:multiLevelType w:val="multilevel"/>
    <w:tmpl w:val="4410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B6283E"/>
    <w:multiLevelType w:val="multilevel"/>
    <w:tmpl w:val="0F5E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F77459"/>
    <w:multiLevelType w:val="multilevel"/>
    <w:tmpl w:val="A0C0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CF74DD"/>
    <w:multiLevelType w:val="multilevel"/>
    <w:tmpl w:val="36AA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366C50"/>
    <w:multiLevelType w:val="multilevel"/>
    <w:tmpl w:val="2CE2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2841A0"/>
    <w:multiLevelType w:val="multilevel"/>
    <w:tmpl w:val="91C2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6D5D63"/>
    <w:multiLevelType w:val="multilevel"/>
    <w:tmpl w:val="BF6E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C76CD4"/>
    <w:multiLevelType w:val="multilevel"/>
    <w:tmpl w:val="BBEA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08511F"/>
    <w:multiLevelType w:val="multilevel"/>
    <w:tmpl w:val="C1E0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91706D"/>
    <w:multiLevelType w:val="multilevel"/>
    <w:tmpl w:val="8F20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C52C11"/>
    <w:multiLevelType w:val="multilevel"/>
    <w:tmpl w:val="947A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1455A8"/>
    <w:multiLevelType w:val="multilevel"/>
    <w:tmpl w:val="CF34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B96BE6"/>
    <w:multiLevelType w:val="multilevel"/>
    <w:tmpl w:val="6D1C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E04D1D"/>
    <w:multiLevelType w:val="multilevel"/>
    <w:tmpl w:val="3706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D3452A"/>
    <w:multiLevelType w:val="multilevel"/>
    <w:tmpl w:val="537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4F4524"/>
    <w:multiLevelType w:val="multilevel"/>
    <w:tmpl w:val="50A0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2B3E0E"/>
    <w:multiLevelType w:val="multilevel"/>
    <w:tmpl w:val="AA8E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BDA7B54"/>
    <w:multiLevelType w:val="multilevel"/>
    <w:tmpl w:val="3102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F45052"/>
    <w:multiLevelType w:val="multilevel"/>
    <w:tmpl w:val="1D90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CFB6410"/>
    <w:multiLevelType w:val="multilevel"/>
    <w:tmpl w:val="0080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AE154C"/>
    <w:multiLevelType w:val="multilevel"/>
    <w:tmpl w:val="72DE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E277A8"/>
    <w:multiLevelType w:val="multilevel"/>
    <w:tmpl w:val="5092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EC86DDA"/>
    <w:multiLevelType w:val="multilevel"/>
    <w:tmpl w:val="3654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2559E8"/>
    <w:multiLevelType w:val="multilevel"/>
    <w:tmpl w:val="D4E0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D82445"/>
    <w:multiLevelType w:val="multilevel"/>
    <w:tmpl w:val="4DD6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AF2BA9"/>
    <w:multiLevelType w:val="multilevel"/>
    <w:tmpl w:val="63A6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303363B"/>
    <w:multiLevelType w:val="multilevel"/>
    <w:tmpl w:val="6E0A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FA4482"/>
    <w:multiLevelType w:val="multilevel"/>
    <w:tmpl w:val="F79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2A65E9"/>
    <w:multiLevelType w:val="multilevel"/>
    <w:tmpl w:val="F08A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696CDB"/>
    <w:multiLevelType w:val="multilevel"/>
    <w:tmpl w:val="CCAA3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697002C"/>
    <w:multiLevelType w:val="multilevel"/>
    <w:tmpl w:val="8D32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FF1E73"/>
    <w:multiLevelType w:val="multilevel"/>
    <w:tmpl w:val="A53C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945E0D"/>
    <w:multiLevelType w:val="multilevel"/>
    <w:tmpl w:val="EB48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80D0E21"/>
    <w:multiLevelType w:val="multilevel"/>
    <w:tmpl w:val="679C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B0659A"/>
    <w:multiLevelType w:val="multilevel"/>
    <w:tmpl w:val="4516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5836C8"/>
    <w:multiLevelType w:val="multilevel"/>
    <w:tmpl w:val="9AD6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F8C1B37"/>
    <w:multiLevelType w:val="multilevel"/>
    <w:tmpl w:val="8852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944244"/>
    <w:multiLevelType w:val="multilevel"/>
    <w:tmpl w:val="FE8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0105EBC"/>
    <w:multiLevelType w:val="multilevel"/>
    <w:tmpl w:val="5C2C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56458C"/>
    <w:multiLevelType w:val="multilevel"/>
    <w:tmpl w:val="BCF8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8B2424"/>
    <w:multiLevelType w:val="multilevel"/>
    <w:tmpl w:val="56BA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DC2345"/>
    <w:multiLevelType w:val="multilevel"/>
    <w:tmpl w:val="A414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613392"/>
    <w:multiLevelType w:val="multilevel"/>
    <w:tmpl w:val="25BE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B43A0B"/>
    <w:multiLevelType w:val="multilevel"/>
    <w:tmpl w:val="F0DE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972BA4"/>
    <w:multiLevelType w:val="multilevel"/>
    <w:tmpl w:val="F392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E61192"/>
    <w:multiLevelType w:val="multilevel"/>
    <w:tmpl w:val="9660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4B23F0"/>
    <w:multiLevelType w:val="multilevel"/>
    <w:tmpl w:val="DD9C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D024B3"/>
    <w:multiLevelType w:val="multilevel"/>
    <w:tmpl w:val="276A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9EB1027"/>
    <w:multiLevelType w:val="multilevel"/>
    <w:tmpl w:val="A4E0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A2B096B"/>
    <w:multiLevelType w:val="multilevel"/>
    <w:tmpl w:val="FAB4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A9D1D06"/>
    <w:multiLevelType w:val="multilevel"/>
    <w:tmpl w:val="4632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C18715D"/>
    <w:multiLevelType w:val="multilevel"/>
    <w:tmpl w:val="890E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D307199"/>
    <w:multiLevelType w:val="multilevel"/>
    <w:tmpl w:val="B1A6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F85A51"/>
    <w:multiLevelType w:val="multilevel"/>
    <w:tmpl w:val="29D8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E4452BD"/>
    <w:multiLevelType w:val="multilevel"/>
    <w:tmpl w:val="B4BE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336870">
    <w:abstractNumId w:val="8"/>
  </w:num>
  <w:num w:numId="2" w16cid:durableId="153645559">
    <w:abstractNumId w:val="6"/>
  </w:num>
  <w:num w:numId="3" w16cid:durableId="1033313488">
    <w:abstractNumId w:val="5"/>
  </w:num>
  <w:num w:numId="4" w16cid:durableId="1674841931">
    <w:abstractNumId w:val="4"/>
  </w:num>
  <w:num w:numId="5" w16cid:durableId="91246314">
    <w:abstractNumId w:val="7"/>
  </w:num>
  <w:num w:numId="6" w16cid:durableId="318848174">
    <w:abstractNumId w:val="3"/>
  </w:num>
  <w:num w:numId="7" w16cid:durableId="683555406">
    <w:abstractNumId w:val="2"/>
  </w:num>
  <w:num w:numId="8" w16cid:durableId="1383137327">
    <w:abstractNumId w:val="1"/>
  </w:num>
  <w:num w:numId="9" w16cid:durableId="1104227671">
    <w:abstractNumId w:val="0"/>
  </w:num>
  <w:num w:numId="10" w16cid:durableId="1351298014">
    <w:abstractNumId w:val="106"/>
  </w:num>
  <w:num w:numId="11" w16cid:durableId="1035541045">
    <w:abstractNumId w:val="24"/>
  </w:num>
  <w:num w:numId="12" w16cid:durableId="77139575">
    <w:abstractNumId w:val="37"/>
  </w:num>
  <w:num w:numId="13" w16cid:durableId="875191373">
    <w:abstractNumId w:val="25"/>
  </w:num>
  <w:num w:numId="14" w16cid:durableId="1530098285">
    <w:abstractNumId w:val="75"/>
  </w:num>
  <w:num w:numId="15" w16cid:durableId="648824949">
    <w:abstractNumId w:val="34"/>
  </w:num>
  <w:num w:numId="16" w16cid:durableId="1593581919">
    <w:abstractNumId w:val="110"/>
  </w:num>
  <w:num w:numId="17" w16cid:durableId="557712229">
    <w:abstractNumId w:val="139"/>
  </w:num>
  <w:num w:numId="18" w16cid:durableId="1634556747">
    <w:abstractNumId w:val="128"/>
  </w:num>
  <w:num w:numId="19" w16cid:durableId="1510677707">
    <w:abstractNumId w:val="19"/>
  </w:num>
  <w:num w:numId="20" w16cid:durableId="838695638">
    <w:abstractNumId w:val="73"/>
  </w:num>
  <w:num w:numId="21" w16cid:durableId="1256212405">
    <w:abstractNumId w:val="63"/>
  </w:num>
  <w:num w:numId="22" w16cid:durableId="226721163">
    <w:abstractNumId w:val="59"/>
  </w:num>
  <w:num w:numId="23" w16cid:durableId="1668361237">
    <w:abstractNumId w:val="31"/>
  </w:num>
  <w:num w:numId="24" w16cid:durableId="1625383870">
    <w:abstractNumId w:val="98"/>
  </w:num>
  <w:num w:numId="25" w16cid:durableId="1747415093">
    <w:abstractNumId w:val="68"/>
  </w:num>
  <w:num w:numId="26" w16cid:durableId="1021323053">
    <w:abstractNumId w:val="142"/>
  </w:num>
  <w:num w:numId="27" w16cid:durableId="320503255">
    <w:abstractNumId w:val="51"/>
  </w:num>
  <w:num w:numId="28" w16cid:durableId="1321738609">
    <w:abstractNumId w:val="141"/>
  </w:num>
  <w:num w:numId="29" w16cid:durableId="2004238197">
    <w:abstractNumId w:val="61"/>
  </w:num>
  <w:num w:numId="30" w16cid:durableId="39717107">
    <w:abstractNumId w:val="65"/>
  </w:num>
  <w:num w:numId="31" w16cid:durableId="948705035">
    <w:abstractNumId w:val="16"/>
  </w:num>
  <w:num w:numId="32" w16cid:durableId="1013998794">
    <w:abstractNumId w:val="43"/>
  </w:num>
  <w:num w:numId="33" w16cid:durableId="106243668">
    <w:abstractNumId w:val="119"/>
  </w:num>
  <w:num w:numId="34" w16cid:durableId="1747143291">
    <w:abstractNumId w:val="74"/>
  </w:num>
  <w:num w:numId="35" w16cid:durableId="1276904705">
    <w:abstractNumId w:val="81"/>
  </w:num>
  <w:num w:numId="36" w16cid:durableId="576129821">
    <w:abstractNumId w:val="30"/>
  </w:num>
  <w:num w:numId="37" w16cid:durableId="1127548120">
    <w:abstractNumId w:val="143"/>
  </w:num>
  <w:num w:numId="38" w16cid:durableId="179005338">
    <w:abstractNumId w:val="12"/>
  </w:num>
  <w:num w:numId="39" w16cid:durableId="1376393563">
    <w:abstractNumId w:val="89"/>
  </w:num>
  <w:num w:numId="40" w16cid:durableId="1627738346">
    <w:abstractNumId w:val="115"/>
  </w:num>
  <w:num w:numId="41" w16cid:durableId="282153432">
    <w:abstractNumId w:val="104"/>
  </w:num>
  <w:num w:numId="42" w16cid:durableId="1463840043">
    <w:abstractNumId w:val="21"/>
  </w:num>
  <w:num w:numId="43" w16cid:durableId="1238977103">
    <w:abstractNumId w:val="83"/>
  </w:num>
  <w:num w:numId="44" w16cid:durableId="1559586643">
    <w:abstractNumId w:val="125"/>
  </w:num>
  <w:num w:numId="45" w16cid:durableId="1204752325">
    <w:abstractNumId w:val="42"/>
  </w:num>
  <w:num w:numId="46" w16cid:durableId="1599099725">
    <w:abstractNumId w:val="72"/>
  </w:num>
  <w:num w:numId="47" w16cid:durableId="826479037">
    <w:abstractNumId w:val="138"/>
  </w:num>
  <w:num w:numId="48" w16cid:durableId="1095783603">
    <w:abstractNumId w:val="55"/>
  </w:num>
  <w:num w:numId="49" w16cid:durableId="55905348">
    <w:abstractNumId w:val="33"/>
  </w:num>
  <w:num w:numId="50" w16cid:durableId="813792857">
    <w:abstractNumId w:val="50"/>
  </w:num>
  <w:num w:numId="51" w16cid:durableId="992027848">
    <w:abstractNumId w:val="144"/>
  </w:num>
  <w:num w:numId="52" w16cid:durableId="1765881574">
    <w:abstractNumId w:val="69"/>
  </w:num>
  <w:num w:numId="53" w16cid:durableId="1344163248">
    <w:abstractNumId w:val="40"/>
  </w:num>
  <w:num w:numId="54" w16cid:durableId="1158619421">
    <w:abstractNumId w:val="27"/>
  </w:num>
  <w:num w:numId="55" w16cid:durableId="1165898048">
    <w:abstractNumId w:val="38"/>
  </w:num>
  <w:num w:numId="56" w16cid:durableId="974872270">
    <w:abstractNumId w:val="54"/>
  </w:num>
  <w:num w:numId="57" w16cid:durableId="1350840156">
    <w:abstractNumId w:val="78"/>
  </w:num>
  <w:num w:numId="58" w16cid:durableId="285818453">
    <w:abstractNumId w:val="48"/>
  </w:num>
  <w:num w:numId="59" w16cid:durableId="1190603413">
    <w:abstractNumId w:val="15"/>
  </w:num>
  <w:num w:numId="60" w16cid:durableId="9722819">
    <w:abstractNumId w:val="91"/>
  </w:num>
  <w:num w:numId="61" w16cid:durableId="1659000567">
    <w:abstractNumId w:val="13"/>
  </w:num>
  <w:num w:numId="62" w16cid:durableId="1377314745">
    <w:abstractNumId w:val="136"/>
  </w:num>
  <w:num w:numId="63" w16cid:durableId="1710492948">
    <w:abstractNumId w:val="53"/>
  </w:num>
  <w:num w:numId="64" w16cid:durableId="464281293">
    <w:abstractNumId w:val="133"/>
  </w:num>
  <w:num w:numId="65" w16cid:durableId="1382485235">
    <w:abstractNumId w:val="49"/>
  </w:num>
  <w:num w:numId="66" w16cid:durableId="512187076">
    <w:abstractNumId w:val="132"/>
  </w:num>
  <w:num w:numId="67" w16cid:durableId="856040382">
    <w:abstractNumId w:val="92"/>
  </w:num>
  <w:num w:numId="68" w16cid:durableId="263460576">
    <w:abstractNumId w:val="101"/>
  </w:num>
  <w:num w:numId="69" w16cid:durableId="1591044523">
    <w:abstractNumId w:val="96"/>
  </w:num>
  <w:num w:numId="70" w16cid:durableId="378634194">
    <w:abstractNumId w:val="17"/>
  </w:num>
  <w:num w:numId="71" w16cid:durableId="1793941278">
    <w:abstractNumId w:val="127"/>
  </w:num>
  <w:num w:numId="72" w16cid:durableId="1051225206">
    <w:abstractNumId w:val="87"/>
  </w:num>
  <w:num w:numId="73" w16cid:durableId="1378894684">
    <w:abstractNumId w:val="77"/>
  </w:num>
  <w:num w:numId="74" w16cid:durableId="460347591">
    <w:abstractNumId w:val="120"/>
  </w:num>
  <w:num w:numId="75" w16cid:durableId="1927566056">
    <w:abstractNumId w:val="47"/>
  </w:num>
  <w:num w:numId="76" w16cid:durableId="1315185761">
    <w:abstractNumId w:val="109"/>
  </w:num>
  <w:num w:numId="77" w16cid:durableId="484931251">
    <w:abstractNumId w:val="85"/>
  </w:num>
  <w:num w:numId="78" w16cid:durableId="290064753">
    <w:abstractNumId w:val="129"/>
  </w:num>
  <w:num w:numId="79" w16cid:durableId="2093046272">
    <w:abstractNumId w:val="130"/>
  </w:num>
  <w:num w:numId="80" w16cid:durableId="17125373">
    <w:abstractNumId w:val="134"/>
  </w:num>
  <w:num w:numId="81" w16cid:durableId="961955579">
    <w:abstractNumId w:val="116"/>
  </w:num>
  <w:num w:numId="82" w16cid:durableId="1200821196">
    <w:abstractNumId w:val="76"/>
  </w:num>
  <w:num w:numId="83" w16cid:durableId="62993187">
    <w:abstractNumId w:val="36"/>
  </w:num>
  <w:num w:numId="84" w16cid:durableId="881555835">
    <w:abstractNumId w:val="52"/>
  </w:num>
  <w:num w:numId="85" w16cid:durableId="1150176243">
    <w:abstractNumId w:val="84"/>
  </w:num>
  <w:num w:numId="86" w16cid:durableId="759565792">
    <w:abstractNumId w:val="117"/>
  </w:num>
  <w:num w:numId="87" w16cid:durableId="1671760772">
    <w:abstractNumId w:val="131"/>
  </w:num>
  <w:num w:numId="88" w16cid:durableId="1195388014">
    <w:abstractNumId w:val="122"/>
  </w:num>
  <w:num w:numId="89" w16cid:durableId="1842694720">
    <w:abstractNumId w:val="58"/>
  </w:num>
  <w:num w:numId="90" w16cid:durableId="612129873">
    <w:abstractNumId w:val="56"/>
  </w:num>
  <w:num w:numId="91" w16cid:durableId="299384690">
    <w:abstractNumId w:val="39"/>
  </w:num>
  <w:num w:numId="92" w16cid:durableId="1216694658">
    <w:abstractNumId w:val="67"/>
  </w:num>
  <w:num w:numId="93" w16cid:durableId="1855804908">
    <w:abstractNumId w:val="62"/>
  </w:num>
  <w:num w:numId="94" w16cid:durableId="1629698820">
    <w:abstractNumId w:val="28"/>
  </w:num>
  <w:num w:numId="95" w16cid:durableId="2031493968">
    <w:abstractNumId w:val="79"/>
  </w:num>
  <w:num w:numId="96" w16cid:durableId="1529490477">
    <w:abstractNumId w:val="137"/>
  </w:num>
  <w:num w:numId="97" w16cid:durableId="1630429150">
    <w:abstractNumId w:val="10"/>
  </w:num>
  <w:num w:numId="98" w16cid:durableId="1641768797">
    <w:abstractNumId w:val="22"/>
  </w:num>
  <w:num w:numId="99" w16cid:durableId="1645546957">
    <w:abstractNumId w:val="45"/>
  </w:num>
  <w:num w:numId="100" w16cid:durableId="112553527">
    <w:abstractNumId w:val="95"/>
  </w:num>
  <w:num w:numId="101" w16cid:durableId="1533415107">
    <w:abstractNumId w:val="20"/>
  </w:num>
  <w:num w:numId="102" w16cid:durableId="1189026927">
    <w:abstractNumId w:val="126"/>
  </w:num>
  <w:num w:numId="103" w16cid:durableId="550730753">
    <w:abstractNumId w:val="11"/>
  </w:num>
  <w:num w:numId="104" w16cid:durableId="652372507">
    <w:abstractNumId w:val="23"/>
  </w:num>
  <w:num w:numId="105" w16cid:durableId="749623494">
    <w:abstractNumId w:val="107"/>
  </w:num>
  <w:num w:numId="106" w16cid:durableId="1059062062">
    <w:abstractNumId w:val="121"/>
  </w:num>
  <w:num w:numId="107" w16cid:durableId="245458283">
    <w:abstractNumId w:val="111"/>
  </w:num>
  <w:num w:numId="108" w16cid:durableId="339431409">
    <w:abstractNumId w:val="9"/>
  </w:num>
  <w:num w:numId="109" w16cid:durableId="712194212">
    <w:abstractNumId w:val="44"/>
  </w:num>
  <w:num w:numId="110" w16cid:durableId="431359107">
    <w:abstractNumId w:val="26"/>
  </w:num>
  <w:num w:numId="111" w16cid:durableId="629936811">
    <w:abstractNumId w:val="88"/>
  </w:num>
  <w:num w:numId="112" w16cid:durableId="907613998">
    <w:abstractNumId w:val="99"/>
  </w:num>
  <w:num w:numId="113" w16cid:durableId="1486821308">
    <w:abstractNumId w:val="46"/>
  </w:num>
  <w:num w:numId="114" w16cid:durableId="1232430232">
    <w:abstractNumId w:val="60"/>
  </w:num>
  <w:num w:numId="115" w16cid:durableId="567767301">
    <w:abstractNumId w:val="90"/>
  </w:num>
  <w:num w:numId="116" w16cid:durableId="114760173">
    <w:abstractNumId w:val="41"/>
  </w:num>
  <w:num w:numId="117" w16cid:durableId="1216114709">
    <w:abstractNumId w:val="86"/>
  </w:num>
  <w:num w:numId="118" w16cid:durableId="1007487719">
    <w:abstractNumId w:val="64"/>
  </w:num>
  <w:num w:numId="119" w16cid:durableId="283736216">
    <w:abstractNumId w:val="124"/>
  </w:num>
  <w:num w:numId="120" w16cid:durableId="1761370566">
    <w:abstractNumId w:val="71"/>
  </w:num>
  <w:num w:numId="121" w16cid:durableId="1001588583">
    <w:abstractNumId w:val="114"/>
  </w:num>
  <w:num w:numId="122" w16cid:durableId="442724395">
    <w:abstractNumId w:val="70"/>
  </w:num>
  <w:num w:numId="123" w16cid:durableId="1461336693">
    <w:abstractNumId w:val="135"/>
  </w:num>
  <w:num w:numId="124" w16cid:durableId="431440979">
    <w:abstractNumId w:val="108"/>
  </w:num>
  <w:num w:numId="125" w16cid:durableId="1148785288">
    <w:abstractNumId w:val="140"/>
  </w:num>
  <w:num w:numId="126" w16cid:durableId="946040711">
    <w:abstractNumId w:val="93"/>
  </w:num>
  <w:num w:numId="127" w16cid:durableId="684017949">
    <w:abstractNumId w:val="112"/>
  </w:num>
  <w:num w:numId="128" w16cid:durableId="1049375338">
    <w:abstractNumId w:val="32"/>
  </w:num>
  <w:num w:numId="129" w16cid:durableId="1305307015">
    <w:abstractNumId w:val="105"/>
  </w:num>
  <w:num w:numId="130" w16cid:durableId="1548685507">
    <w:abstractNumId w:val="14"/>
  </w:num>
  <w:num w:numId="131" w16cid:durableId="834615398">
    <w:abstractNumId w:val="80"/>
  </w:num>
  <w:num w:numId="132" w16cid:durableId="727343775">
    <w:abstractNumId w:val="102"/>
  </w:num>
  <w:num w:numId="133" w16cid:durableId="1001198748">
    <w:abstractNumId w:val="57"/>
  </w:num>
  <w:num w:numId="134" w16cid:durableId="2088457953">
    <w:abstractNumId w:val="103"/>
  </w:num>
  <w:num w:numId="135" w16cid:durableId="1618756904">
    <w:abstractNumId w:val="94"/>
  </w:num>
  <w:num w:numId="136" w16cid:durableId="230046412">
    <w:abstractNumId w:val="97"/>
  </w:num>
  <w:num w:numId="137" w16cid:durableId="249045527">
    <w:abstractNumId w:val="100"/>
  </w:num>
  <w:num w:numId="138" w16cid:durableId="1137189241">
    <w:abstractNumId w:val="18"/>
  </w:num>
  <w:num w:numId="139" w16cid:durableId="1568414199">
    <w:abstractNumId w:val="118"/>
  </w:num>
  <w:num w:numId="140" w16cid:durableId="934556024">
    <w:abstractNumId w:val="113"/>
  </w:num>
  <w:num w:numId="141" w16cid:durableId="95251701">
    <w:abstractNumId w:val="123"/>
  </w:num>
  <w:num w:numId="142" w16cid:durableId="1809741258">
    <w:abstractNumId w:val="66"/>
  </w:num>
  <w:num w:numId="143" w16cid:durableId="224218100">
    <w:abstractNumId w:val="29"/>
  </w:num>
  <w:num w:numId="144" w16cid:durableId="686374257">
    <w:abstractNumId w:val="35"/>
  </w:num>
  <w:num w:numId="145" w16cid:durableId="543248004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694"/>
    <w:rsid w:val="0015074B"/>
    <w:rsid w:val="0029639D"/>
    <w:rsid w:val="002A2186"/>
    <w:rsid w:val="00326F90"/>
    <w:rsid w:val="004D3642"/>
    <w:rsid w:val="005962BA"/>
    <w:rsid w:val="005E1CF0"/>
    <w:rsid w:val="006950E0"/>
    <w:rsid w:val="008C2081"/>
    <w:rsid w:val="00984EE5"/>
    <w:rsid w:val="009A13CC"/>
    <w:rsid w:val="00A30D52"/>
    <w:rsid w:val="00AA1D8D"/>
    <w:rsid w:val="00B314D4"/>
    <w:rsid w:val="00B47730"/>
    <w:rsid w:val="00B907D8"/>
    <w:rsid w:val="00BB3DFA"/>
    <w:rsid w:val="00BF68CF"/>
    <w:rsid w:val="00CB0664"/>
    <w:rsid w:val="00CF4CED"/>
    <w:rsid w:val="00D460CD"/>
    <w:rsid w:val="00D55B68"/>
    <w:rsid w:val="00DA00F7"/>
    <w:rsid w:val="00F64C8B"/>
    <w:rsid w:val="00FB69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C93920"/>
  <w14:defaultImageDpi w14:val="300"/>
  <w15:docId w15:val="{FF53A0EF-5668-4281-8B9B-BCF91FAFE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9</Pages>
  <Words>1842</Words>
  <Characters>10132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Benoit Cantin</cp:lastModifiedBy>
  <cp:revision>9</cp:revision>
  <dcterms:created xsi:type="dcterms:W3CDTF">2013-12-23T23:15:00Z</dcterms:created>
  <dcterms:modified xsi:type="dcterms:W3CDTF">2026-01-25T05:12:00Z</dcterms:modified>
  <cp:category/>
</cp:coreProperties>
</file>