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Calibri" w:hAnsi="Calibri"/>
          <w:b/>
          <w:color w:val="003366"/>
          <w:sz w:val="52"/>
        </w:rPr>
        <w:t>Docker Exec: Command Syntax &amp; Troubleshooting Guide</w:t>
      </w:r>
    </w:p>
    <w:p>
      <w:pPr>
        <w:spacing w:after="240" w:line="276" w:lineRule="auto"/>
      </w:pPr>
      <w:r>
        <w:rPr>
          <w:b w:val="0"/>
          <w:i w:val="0"/>
        </w:rPr>
        <w:t>The docker exec command is a foundational utility used by systems administrators and developers to run fresh processes inside already active, running container environments. This is essential for live debugging, inspecting file systems, checking platform dependencies, or querying integrated local databases without stopping active runtime application layers.</w:t>
      </w:r>
    </w:p>
    <w:p>
      <w:pPr>
        <w:spacing w:before="280" w:after="120"/>
        <w:pBdr>
          <w:bottom w:val="single" w:sz="6" w:space="4" w:color="003366"/>
        </w:pBdr>
      </w:pPr>
      <w:r>
        <w:rPr>
          <w:rFonts w:ascii="Calibri" w:hAnsi="Calibri"/>
          <w:b/>
          <w:color w:val="003366"/>
          <w:sz w:val="36"/>
        </w:rPr>
        <w:t>1. Command Syntax &amp; Standard Flags</w:t>
      </w:r>
    </w:p>
    <w:p>
      <w:pPr>
        <w:spacing w:after="120" w:line="276" w:lineRule="auto"/>
      </w:pPr>
      <w:r>
        <w:rPr>
          <w:b w:val="0"/>
          <w:i w:val="0"/>
        </w:rPr>
        <w:t>The comprehensive base structure for executing commands within operational containers follows this layout:</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docker exec [OPTIONS] CONTAINER_NAME_OR_ID COMMAND [ARG...]</w:t>
            </w:r>
          </w:p>
        </w:tc>
      </w:tr>
    </w:tbl>
    <w:p>
      <w:pPr>
        <w:spacing w:after="120" w:line="276" w:lineRule="auto"/>
      </w:pPr>
      <w:r>
        <w:rPr>
          <w:b w:val="0"/>
          <w:i w:val="0"/>
        </w:rPr>
        <w:t>Key command-line options frequently leveraged include:</w:t>
      </w:r>
    </w:p>
    <w:p>
      <w:pPr>
        <w:pStyle w:val="ListBullet"/>
        <w:spacing w:after="60" w:line="276" w:lineRule="auto"/>
      </w:pPr>
      <w:r>
        <w:rPr>
          <w:b/>
        </w:rPr>
        <w:t>-t, --tty :</w:t>
      </w:r>
      <w:r>
        <w:t xml:space="preserve"> Allocates a pseudo-TTY window, generating a functional terminal interface with formatting and syntax coloring.</w:t>
      </w:r>
    </w:p>
    <w:p>
      <w:pPr>
        <w:pStyle w:val="ListBullet"/>
        <w:spacing w:after="60" w:line="276" w:lineRule="auto"/>
      </w:pPr>
      <w:r>
        <w:rPr>
          <w:b/>
        </w:rPr>
        <w:t>-i, --interactive :</w:t>
      </w:r>
      <w:r>
        <w:t xml:space="preserve"> Keeps the standard input (stdin) channel wide open, allowing interactive user typing even if unattached.</w:t>
      </w:r>
    </w:p>
    <w:p>
      <w:pPr>
        <w:pStyle w:val="ListBullet"/>
        <w:spacing w:after="60" w:line="276" w:lineRule="auto"/>
      </w:pPr>
      <w:r>
        <w:rPr>
          <w:b/>
        </w:rPr>
        <w:t>-d, --detach :</w:t>
      </w:r>
      <w:r>
        <w:t xml:space="preserve"> Runs the specified command in the background (detached mode), printing the command output only if explicitly captured by systems.</w:t>
      </w:r>
    </w:p>
    <w:p>
      <w:pPr>
        <w:pStyle w:val="ListBullet"/>
        <w:spacing w:after="60" w:line="276" w:lineRule="auto"/>
      </w:pPr>
      <w:r>
        <w:rPr>
          <w:b/>
        </w:rPr>
        <w:t>-u, --user :</w:t>
      </w:r>
      <w:r>
        <w:t xml:space="preserve"> Overrides the container's default login account context, allowing operations under alternative permissions.</w:t>
      </w:r>
    </w:p>
    <w:p>
      <w:pPr>
        <w:pStyle w:val="ListBullet"/>
        <w:spacing w:after="60" w:line="276" w:lineRule="auto"/>
      </w:pPr>
      <w:r>
        <w:rPr>
          <w:b/>
        </w:rPr>
        <w:t>-w, --workdir :</w:t>
      </w:r>
      <w:r>
        <w:t xml:space="preserve"> Overrides or establishes a targeted directory path context inside the container for the duration of the command execution.</w:t>
      </w:r>
    </w:p>
    <w:p>
      <w:pPr>
        <w:pStyle w:val="ListBullet"/>
        <w:spacing w:after="60" w:line="276" w:lineRule="auto"/>
      </w:pPr>
      <w:r>
        <w:rPr>
          <w:b/>
        </w:rPr>
        <w:t>--privileged :</w:t>
      </w:r>
      <w:r>
        <w:t xml:space="preserve"> Directs the command to run with extended, host-level administrative capabilities inside the container layer.</w:t>
      </w:r>
    </w:p>
    <w:p>
      <w:pPr>
        <w:spacing w:before="280" w:after="120"/>
        <w:pBdr>
          <w:bottom w:val="single" w:sz="6" w:space="4" w:color="003366"/>
        </w:pBdr>
      </w:pPr>
      <w:r>
        <w:rPr>
          <w:rFonts w:ascii="Calibri" w:hAnsi="Calibri"/>
          <w:b/>
          <w:color w:val="003366"/>
          <w:sz w:val="36"/>
        </w:rPr>
        <w:t>2. Standard Use Case Workflows</w:t>
      </w:r>
    </w:p>
    <w:p>
      <w:pPr>
        <w:spacing w:before="200" w:after="80"/>
      </w:pPr>
      <w:r>
        <w:rPr>
          <w:rFonts w:ascii="Calibri" w:hAnsi="Calibri"/>
          <w:b/>
          <w:color w:val="4682B4"/>
          <w:sz w:val="28"/>
        </w:rPr>
        <w:t>Case A: Spawning an Interactive Operating System Shell</w:t>
      </w:r>
    </w:p>
    <w:p>
      <w:pPr>
        <w:spacing w:after="120" w:line="276" w:lineRule="auto"/>
      </w:pPr>
      <w:r>
        <w:rPr>
          <w:b w:val="0"/>
          <w:i w:val="0"/>
        </w:rPr>
        <w:t>To interact directly with a container's filesystem—such as confirming Spring Boot file uploads or framework target logs—use the interactive shell workflow. It maps the host input to the internal shell interpreter (bash or sh):</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docker exec -it my-springboot-app bash</w:t>
              <w:br/>
              <w:t># Note: If bash is not present in minimal/alpine base images, fall back to shell:</w:t>
              <w:br/>
              <w:t>docker exec -it my-springboot-app sh</w:t>
            </w:r>
          </w:p>
        </w:tc>
      </w:tr>
    </w:tbl>
    <w:p>
      <w:pPr>
        <w:spacing w:before="200" w:after="80"/>
      </w:pPr>
      <w:r>
        <w:rPr>
          <w:rFonts w:ascii="Calibri" w:hAnsi="Calibri"/>
          <w:b/>
          <w:color w:val="4682B4"/>
          <w:sz w:val="28"/>
        </w:rPr>
        <w:t>Case B: Direct Database Client Interaction</w:t>
      </w:r>
    </w:p>
    <w:p>
      <w:pPr>
        <w:spacing w:after="120" w:line="276" w:lineRule="auto"/>
      </w:pPr>
      <w:r>
        <w:rPr>
          <w:b w:val="0"/>
          <w:i w:val="0"/>
        </w:rPr>
        <w:t>To perform instant structural updates, check table constraints, or query tables directly within your isolated state container without external client software utilities:</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docker exec -it my-mysql-db mysql -u root -p</w:t>
            </w:r>
          </w:p>
        </w:tc>
      </w:tr>
    </w:tbl>
    <w:p>
      <w:pPr>
        <w:spacing w:before="200" w:after="80"/>
      </w:pPr>
      <w:r>
        <w:rPr>
          <w:rFonts w:ascii="Calibri" w:hAnsi="Calibri"/>
          <w:b/>
          <w:color w:val="4682B4"/>
          <w:sz w:val="28"/>
        </w:rPr>
        <w:t>Case C: Non-Interactive Instant Inspections</w:t>
      </w:r>
    </w:p>
    <w:p>
      <w:pPr>
        <w:spacing w:after="120" w:line="276" w:lineRule="auto"/>
      </w:pPr>
      <w:r>
        <w:rPr>
          <w:b w:val="0"/>
          <w:i w:val="0"/>
        </w:rPr>
        <w:t>You don't always have to open an immersive shell. To capture an instantaneous snapshot of system operational metrics from your RHEL 9 server without disturbing internal contexts, append individual binary instructions:</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 Audit active process allocations within the target environment container:</w:t>
              <w:br/>
              <w:t>docker exec my-springboot-app ps aux</w:t>
              <w:br/>
              <w:br/>
              <w:t># Validate accurate environmental timestamps matching system cron parameters:</w:t>
              <w:br/>
              <w:t>docker exec my-springboot-app date</w:t>
              <w:br/>
              <w:br/>
              <w:t># Confirm filesystem layout and write permissions inside the deployment app root:</w:t>
              <w:br/>
              <w:t>docker exec my-springboot-app ls -la /app</w:t>
            </w:r>
          </w:p>
        </w:tc>
      </w:tr>
    </w:tbl>
    <w:p>
      <w:pPr>
        <w:spacing w:before="280" w:after="120"/>
        <w:pBdr>
          <w:bottom w:val="single" w:sz="6" w:space="4" w:color="003366"/>
        </w:pBdr>
      </w:pPr>
      <w:r>
        <w:rPr>
          <w:rFonts w:ascii="Calibri" w:hAnsi="Calibri"/>
          <w:b/>
          <w:color w:val="003366"/>
          <w:sz w:val="36"/>
        </w:rPr>
        <w:t>3. Conceptual Breakdown: Exec vs. Run</w:t>
      </w:r>
    </w:p>
    <w:p>
      <w:pPr>
        <w:spacing w:after="120" w:line="276" w:lineRule="auto"/>
      </w:pPr>
      <w:r>
        <w:rPr>
          <w:b w:val="0"/>
          <w:i w:val="0"/>
        </w:rPr>
        <w:t>Conflating run and exec architectures is a common mistake. They control separate points of the container life cycle:</w:t>
      </w:r>
    </w:p>
    <w:tbl>
      <w:tblPr>
        <w:tblW w:type="auto" w:w="0"/>
        <w:jc w:val="center"/>
        <w:tblLook w:firstColumn="1" w:firstRow="1" w:lastColumn="0" w:lastRow="0" w:noHBand="0" w:noVBand="1" w:val="04A0"/>
      </w:tblPr>
      <w:tblGrid>
        <w:gridCol w:w="3120"/>
        <w:gridCol w:w="3120"/>
        <w:gridCol w:w="3120"/>
      </w:tblGrid>
      <w:tr>
        <w:tc>
          <w:tcPr>
            <w:tcW w:type="dxa" w:w="3120"/>
            <w:shd w:fill="003366"/>
          </w:tcPr>
          <w:p>
            <w:r>
              <w:rPr>
                <w:b/>
                <w:color w:val="FFFFFF"/>
              </w:rPr>
              <w:t>Operational Metric</w:t>
            </w:r>
          </w:p>
        </w:tc>
        <w:tc>
          <w:tcPr>
            <w:tcW w:type="dxa" w:w="3120"/>
            <w:shd w:fill="003366"/>
          </w:tcPr>
          <w:p>
            <w:r>
              <w:rPr>
                <w:b/>
                <w:color w:val="FFFFFF"/>
              </w:rPr>
              <w:t>docker run</w:t>
            </w:r>
          </w:p>
        </w:tc>
        <w:tc>
          <w:tcPr>
            <w:tcW w:type="dxa" w:w="3120"/>
            <w:shd w:fill="003366"/>
          </w:tcPr>
          <w:p>
            <w:r>
              <w:rPr>
                <w:b/>
                <w:color w:val="FFFFFF"/>
              </w:rPr>
              <w:t>docker exec</w:t>
            </w:r>
          </w:p>
        </w:tc>
      </w:tr>
      <w:tr>
        <w:tc>
          <w:tcPr>
            <w:tcW w:type="dxa" w:w="3120"/>
          </w:tcPr>
          <w:p>
            <w:r>
              <w:t>Target State</w:t>
            </w:r>
          </w:p>
        </w:tc>
        <w:tc>
          <w:tcPr>
            <w:tcW w:type="dxa" w:w="3120"/>
          </w:tcPr>
          <w:p>
            <w:r>
              <w:t>Container must be completely stopped or non-existent.</w:t>
            </w:r>
          </w:p>
        </w:tc>
        <w:tc>
          <w:tcPr>
            <w:tcW w:type="dxa" w:w="3120"/>
          </w:tcPr>
          <w:p>
            <w:r>
              <w:t>Container must be actively running in an up-state.</w:t>
            </w:r>
          </w:p>
        </w:tc>
      </w:tr>
      <w:tr>
        <w:tc>
          <w:tcPr>
            <w:tcW w:type="dxa" w:w="3120"/>
            <w:shd w:fill="F4F4F4"/>
          </w:tcPr>
          <w:p>
            <w:r>
              <w:t>Primary Outcome</w:t>
            </w:r>
          </w:p>
        </w:tc>
        <w:tc>
          <w:tcPr>
            <w:tcW w:type="dxa" w:w="3120"/>
            <w:shd w:fill="F4F4F4"/>
          </w:tcPr>
          <w:p>
            <w:r>
              <w:t>Creates an entirely isolated instance from an immutable image layer.</w:t>
            </w:r>
          </w:p>
        </w:tc>
        <w:tc>
          <w:tcPr>
            <w:tcW w:type="dxa" w:w="3120"/>
            <w:shd w:fill="F4F4F4"/>
          </w:tcPr>
          <w:p>
            <w:r>
              <w:t>Injects a secondary auxiliary task into an established runtime namespace.</w:t>
            </w:r>
          </w:p>
        </w:tc>
      </w:tr>
      <w:tr>
        <w:tc>
          <w:tcPr>
            <w:tcW w:type="dxa" w:w="3120"/>
          </w:tcPr>
          <w:p>
            <w:r>
              <w:t>Core Use Case</w:t>
            </w:r>
          </w:p>
        </w:tc>
        <w:tc>
          <w:tcPr>
            <w:tcW w:type="dxa" w:w="3120"/>
          </w:tcPr>
          <w:p>
            <w:r>
              <w:t>Deploying a microservice, spin-up database engines, initialize stack architectures.</w:t>
            </w:r>
          </w:p>
        </w:tc>
        <w:tc>
          <w:tcPr>
            <w:tcW w:type="dxa" w:w="3120"/>
          </w:tcPr>
          <w:p>
            <w:r>
              <w:t>Debugging exceptions, system diagnostics, executing live migrations or utilities.</w:t>
            </w:r>
          </w:p>
        </w:tc>
      </w:tr>
    </w:tbl>
    <w:p>
      <w:pPr>
        <w:spacing w:before="200"/>
      </w:pPr>
    </w:p>
    <w:p>
      <w:pPr>
        <w:spacing w:before="280" w:after="120"/>
        <w:pBdr>
          <w:bottom w:val="single" w:sz="6" w:space="4" w:color="003366"/>
        </w:pBdr>
      </w:pPr>
      <w:r>
        <w:rPr>
          <w:rFonts w:ascii="Calibri" w:hAnsi="Calibri"/>
          <w:b/>
          <w:color w:val="003366"/>
          <w:sz w:val="36"/>
        </w:rPr>
        <w:t>4. Advanced Troubleshooting &amp; Diagnostic Protocols</w:t>
      </w:r>
    </w:p>
    <w:p>
      <w:pPr>
        <w:spacing w:before="200" w:after="80"/>
      </w:pPr>
      <w:r>
        <w:rPr>
          <w:rFonts w:ascii="Calibri" w:hAnsi="Calibri"/>
          <w:b/>
          <w:color w:val="4682B4"/>
          <w:sz w:val="28"/>
        </w:rPr>
        <w:t>Scenario A: Environment Variable Audits</w:t>
      </w:r>
    </w:p>
    <w:p>
      <w:pPr>
        <w:spacing w:after="120" w:line="276" w:lineRule="auto"/>
      </w:pPr>
      <w:r>
        <w:rPr>
          <w:b w:val="0"/>
          <w:i w:val="0"/>
        </w:rPr>
        <w:t>When database connections crash, confirm whether configuration strings are accurately passed into the Java environment space at container launch. Run an env print directly inside the context:</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docker exec my-springboot-app env</w:t>
            </w:r>
          </w:p>
        </w:tc>
      </w:tr>
    </w:tbl>
    <w:p>
      <w:pPr>
        <w:spacing w:before="200" w:after="80"/>
      </w:pPr>
      <w:r>
        <w:rPr>
          <w:rFonts w:ascii="Calibri" w:hAnsi="Calibri"/>
          <w:b/>
          <w:color w:val="4682B4"/>
          <w:sz w:val="28"/>
        </w:rPr>
        <w:t>Scenario B: Real-Time Network Connectivity Validation</w:t>
      </w:r>
    </w:p>
    <w:p>
      <w:pPr>
        <w:spacing w:after="120" w:line="276" w:lineRule="auto"/>
      </w:pPr>
      <w:r>
        <w:rPr>
          <w:b w:val="0"/>
          <w:i w:val="0"/>
        </w:rPr>
        <w:t>If your Spring Boot backend fails to connect with an isolated MySQL image, step inside the backend layer to verify if internal DNS bridge routing maps properly across containers:</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 Execute internal network ping tests targeted to the explicit database networkalias:</w:t>
              <w:br/>
              <w:t>docker exec -it my-springboot-app ping my-mysql-db</w:t>
              <w:br/>
              <w:br/>
              <w:t># Test explicit socket layer connections to verify database port accessibility (e.g. 3306):</w:t>
              <w:br/>
              <w:t>docker exec -it my-springboot-app nc -zv my-mysql-db 3306</w:t>
            </w:r>
          </w:p>
        </w:tc>
      </w:tr>
    </w:tbl>
    <w:p>
      <w:pPr>
        <w:spacing w:before="200" w:after="80"/>
      </w:pPr>
      <w:r>
        <w:rPr>
          <w:rFonts w:ascii="Calibri" w:hAnsi="Calibri"/>
          <w:b/>
          <w:color w:val="4682B4"/>
          <w:sz w:val="28"/>
        </w:rPr>
        <w:t>Scenario C: Running Administrative Tasks Safely (Non-Root)</w:t>
      </w:r>
    </w:p>
    <w:p>
      <w:pPr>
        <w:spacing w:after="120" w:line="276" w:lineRule="auto"/>
      </w:pPr>
      <w:r>
        <w:rPr>
          <w:b w:val="0"/>
          <w:i w:val="0"/>
        </w:rPr>
        <w:t>Production instances on RHEL 9 often block root users within container execution contexts for strict security enforcement. Execute debugging operations as custom runtime accounts safely:</w:t>
      </w:r>
    </w:p>
    <w:tbl>
      <w:tblPr>
        <w:tblW w:type="auto" w:w="0"/>
        <w:jc w:val="center"/>
        <w:tblLook w:firstColumn="1" w:firstRow="1" w:lastColumn="0" w:lastRow="0" w:noHBand="0" w:noVBand="1" w:val="04A0"/>
      </w:tblPr>
      <w:tblGrid>
        <w:gridCol w:w="9360"/>
      </w:tblGrid>
      <w:tr>
        <w:tc>
          <w:tcPr>
            <w:tcW w:type="dxa" w:w="9360"/>
            <w:shd w:fill="F4F4F4"/>
            <w:tcBorders>
              <w:left w:val="single" w:sz="24" w:space="0" w:color="003366"/>
              <w:top w:val="none"/>
              <w:right w:val="none"/>
              <w:bottom w:val="none"/>
            </w:tcBorders>
          </w:tcPr>
          <w:p>
            <w:pPr>
              <w:spacing w:before="80" w:after="80"/>
              <w:ind w:left="144"/>
            </w:pPr>
            <w:r>
              <w:rPr>
                <w:rFonts w:ascii="Consolas" w:hAnsi="Consolas"/>
                <w:color w:val="1E1E1E"/>
                <w:sz w:val="20"/>
              </w:rPr>
              <w:t>docker exec -it --user springuser my-springboot-app 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