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003366"/>
          <w:sz w:val="40"/>
        </w:rPr>
        <w:t>Docker Volume Command Reference Guide</w:t>
      </w:r>
    </w:p>
    <w:p>
      <w:pPr>
        <w:spacing w:after="80" w:line="276" w:lineRule="auto"/>
      </w:pPr>
      <w:r>
        <w:rPr>
          <w:rFonts w:ascii="Arial" w:hAnsi="Arial"/>
          <w:sz w:val="20"/>
        </w:rPr>
        <w:t>Docker volumes provide persistent storage infrastructure independent of individual container life cycles. This document details all management, inspection, attachment, and maintenance commands required to orchestrate volumes inside a runtime environment.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8"/>
        </w:rPr>
        <w:t>1. Pure Volume Management Commands (CLI Native)</w:t>
      </w:r>
    </w:p>
    <w:p>
      <w:pPr>
        <w:spacing w:after="80" w:line="276" w:lineRule="auto"/>
      </w:pPr>
      <w:r>
        <w:rPr>
          <w:rFonts w:ascii="Arial" w:hAnsi="Arial"/>
          <w:sz w:val="20"/>
        </w:rPr>
        <w:t xml:space="preserve">All core interactions with standalone volumes are handled through the base structure: 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&lt;SUBCOMMAND&gt; [OPTIONS]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Create a Volume Explicitly</w:t>
      </w:r>
    </w:p>
    <w:p>
      <w:pPr>
        <w:spacing w:after="80" w:line="276" w:lineRule="auto"/>
      </w:pPr>
      <w:r>
        <w:rPr>
          <w:rFonts w:ascii="Arial" w:hAnsi="Arial"/>
          <w:sz w:val="20"/>
        </w:rPr>
        <w:t>Proactively instantiates a managed space before assigning it to an actual database container.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create my_shared_storage</w:t>
        <w:br/>
        <w:t># Optional: Assign customized high-efficiency storage drivers</w:t>
        <w:br/>
        <w:t>docker volume create --driver local --opt type=tmpfs --opt device=tmpfs --opt o=size=100m my_ram_vol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List All Volumes</w:t>
      </w:r>
    </w:p>
    <w:p>
      <w:pPr>
        <w:spacing w:after="80" w:line="276" w:lineRule="auto"/>
      </w:pPr>
      <w:r>
        <w:rPr>
          <w:rFonts w:ascii="Arial" w:hAnsi="Arial"/>
          <w:sz w:val="20"/>
        </w:rPr>
        <w:t>Exposes an unfiltered manifest listing every volume name and driver variant local to the current host daemon node.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ls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Inspect Volume Details</w:t>
      </w:r>
    </w:p>
    <w:p>
      <w:pPr>
        <w:spacing w:after="80" w:line="276" w:lineRule="auto"/>
      </w:pPr>
      <w:r>
        <w:rPr>
          <w:rFonts w:ascii="Arial" w:hAnsi="Arial"/>
          <w:sz w:val="20"/>
        </w:rPr>
        <w:t>Outputs the low-level JSON configuration layout including creation metadata timestamps, active label hashes, and the precise absolute filesystem pathway (Mountpoint) on the host hardware layout.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inspect my_shared_storage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Remove Specific Volume</w:t>
      </w:r>
    </w:p>
    <w:p>
      <w:pPr>
        <w:spacing w:after="80" w:line="276" w:lineRule="auto"/>
      </w:pPr>
      <w:r>
        <w:rPr>
          <w:rFonts w:ascii="Arial" w:hAnsi="Arial"/>
          <w:sz w:val="20"/>
        </w:rPr>
        <w:t>Erases target storage assets cleanly from hardware memory. Note that volumes currently bound to active or stopped containers cannot be expunged until those dependencies are discarded.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rm my_shared_storage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Prune Unused Volumes</w:t>
      </w:r>
    </w:p>
    <w:p>
      <w:pPr>
        <w:spacing w:after="80" w:line="276" w:lineRule="auto"/>
      </w:pPr>
      <w:r>
        <w:rPr>
          <w:rFonts w:ascii="Arial" w:hAnsi="Arial"/>
          <w:sz w:val="20"/>
        </w:rPr>
        <w:t>Bulk purge engine utility. Safely clears storage strain by scanning the server layer and wiping out all dangling, anonymous, or unattached container volumes simultaneously.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volume prune -f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8"/>
        </w:rPr>
        <w:t>2. Container Attachment Commands (Runtime Flags)</w:t>
      </w:r>
    </w:p>
    <w:p>
      <w:pPr>
        <w:spacing w:after="80" w:line="276" w:lineRule="auto"/>
      </w:pPr>
      <w:r>
        <w:rPr>
          <w:rFonts w:ascii="Arial" w:hAnsi="Arial"/>
          <w:sz w:val="20"/>
        </w:rPr>
        <w:t>To use a volume, it must be mounted during the execution layer. The modern engine handles mounts via two distinct interface approaches.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Approach A: The Vintage Legacy Flag (-v / --volume)</w:t>
      </w:r>
    </w:p>
    <w:p>
      <w:pPr>
        <w:spacing w:after="80" w:line="276" w:lineRule="auto"/>
      </w:pPr>
      <w:r>
        <w:rPr>
          <w:rFonts w:ascii="Arial" w:hAnsi="Arial"/>
          <w:sz w:val="20"/>
        </w:rPr>
        <w:t>Compact syntax variant. Maps three fields separated by colons: [Volume_Name]:[Container_Internal_Path]:[Read_Write_Permissions]. If the named volume name is missing, Docker implicitly provisions it at runtime.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# Standard Read-Write Mount Configuration</w:t>
        <w:br/>
        <w:t>docker run -d --name cache_db -v metadata_pool:/var/lib/redis redis:alpine</w:t>
        <w:br/>
        <w:br/>
        <w:t># Read-Only Mount Enforcement (:ro ensures container cannot alter backend files)</w:t>
        <w:br/>
        <w:t>docker run -d --name client_portal -v web_assets:/usr/share/nginx/html:ro nginx:alpine</w:t>
      </w:r>
    </w:p>
    <w:p>
      <w:pPr>
        <w:keepNext/>
        <w:spacing w:before="160" w:after="40"/>
      </w:pPr>
      <w:r>
        <w:rPr>
          <w:rFonts w:ascii="Arial" w:hAnsi="Arial"/>
          <w:b/>
          <w:color w:val="0066CC"/>
          <w:sz w:val="23"/>
        </w:rPr>
        <w:t>Approach B: The Strict Enterprise Flag (--mount)</w:t>
      </w:r>
    </w:p>
    <w:p>
      <w:pPr>
        <w:spacing w:after="80" w:line="276" w:lineRule="auto"/>
      </w:pPr>
      <w:r>
        <w:rPr>
          <w:rFonts w:ascii="Arial" w:hAnsi="Arial"/>
          <w:sz w:val="20"/>
        </w:rPr>
        <w:t>Explicit, key-value syntax. Highly favored for real-world deployments and required for clustering platforms like Docker Swarm due to explicit runtime error validation if parameters are broken.</w:t>
      </w:r>
    </w:p>
    <w:p>
      <w:pPr>
        <w:spacing w:before="80" w:after="80"/>
        <w:ind w:left="288"/>
        <w:pBdr>
          <w:left w:val="single" w:sz="24" w:space="4" w:color="003366"/>
        </w:pBdr>
        <w:shd w:fill="F4F6F9"/>
      </w:pPr>
      <w:r>
        <w:rPr>
          <w:rFonts w:ascii="Consolas" w:hAnsi="Consolas"/>
          <w:color w:val="333333"/>
          <w:sz w:val="19"/>
        </w:rPr>
        <w:t>docker run -d \</w:t>
        <w:br/>
        <w:t xml:space="preserve">  --name analytics_engine \</w:t>
        <w:br/>
        <w:t xml:space="preserve">  --mount type=volume,source=log_pool,target=/app/logs,readonly \</w:t>
        <w:br/>
        <w:t xml:space="preserve">  python:3.11-slim</w:t>
      </w:r>
    </w:p>
    <w:p>
      <w:pPr>
        <w:keepNext/>
        <w:spacing w:before="240" w:after="80"/>
      </w:pPr>
      <w:r>
        <w:rPr>
          <w:rFonts w:ascii="Arial" w:hAnsi="Arial"/>
          <w:b/>
          <w:color w:val="003366"/>
          <w:sz w:val="28"/>
        </w:rPr>
        <w:t>3. Command Summary Cheat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Command Syntax</w:t>
            </w:r>
          </w:p>
        </w:tc>
        <w:tc>
          <w:tcPr>
            <w:tcW w:type="dxa" w:w="4608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Operational Utility Target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Execution Timing Context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docker volume create &lt;name&gt;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Allocates a new named data architecture layer.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Before cluster container boot.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docker volume ls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Audits local inventories and matches name indexes.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Dev troubleshooting / Monitoring.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docker volume inspect &lt;name&gt;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Locates the raw host Mountpoint pathway metadata.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Debugging path routing breaks.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docker volume rm &lt;name&gt;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Discards a targeted separate data partition.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Infrastructure cleanup operations.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docker volume prune</w:t>
            </w:r>
          </w:p>
        </w:tc>
        <w:tc>
          <w:tcPr>
            <w:tcW w:type="dxa" w:w="4608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Flushes all unattached, stranded data pools.</w:t>
            </w:r>
          </w:p>
        </w:tc>
        <w:tc>
          <w:tcPr>
            <w:tcW w:type="dxa" w:w="2592"/>
            <w:shd w:fill="F9FAFB"/>
          </w:tcPr>
          <w:p>
            <w:pPr>
              <w:spacing w:before="60" w:after="60"/>
            </w:pPr>
            <w:r>
              <w:rPr>
                <w:rFonts w:ascii="Arial" w:hAnsi="Arial"/>
                <w:color w:val="333333"/>
                <w:sz w:val="18"/>
              </w:rPr>
              <w:t>Scheduled system cron pruning scripts.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• Systems Operations Reference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Docker Volume Command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